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FCEAA" w14:textId="4ACF0079" w:rsidR="00E43C2D" w:rsidRPr="00B41C29" w:rsidRDefault="00E43C2D">
      <w:pPr>
        <w:rPr>
          <w:rFonts w:cstheme="minorHAnsi"/>
        </w:rPr>
      </w:pPr>
    </w:p>
    <w:p w14:paraId="025210C8" w14:textId="215A6E92" w:rsidR="00FC2DC5" w:rsidRPr="00B41C29" w:rsidRDefault="00FC2DC5">
      <w:pPr>
        <w:rPr>
          <w:rFonts w:cstheme="minorHAnsi"/>
        </w:rPr>
      </w:pPr>
    </w:p>
    <w:p w14:paraId="2550AD70" w14:textId="30C1BF99" w:rsidR="00FC2DC5" w:rsidRPr="00B41C29" w:rsidRDefault="00FC2DC5">
      <w:pPr>
        <w:rPr>
          <w:rFonts w:cstheme="minorHAnsi"/>
        </w:rPr>
      </w:pPr>
      <w:r w:rsidRPr="00B41C29">
        <w:rPr>
          <w:rFonts w:cstheme="minorHAnsi"/>
        </w:rPr>
        <w:tab/>
      </w:r>
      <w:r w:rsidRPr="00B41C29">
        <w:rPr>
          <w:rFonts w:cstheme="minorHAnsi"/>
        </w:rPr>
        <w:tab/>
      </w:r>
      <w:r w:rsidRPr="00B41C29">
        <w:rPr>
          <w:rFonts w:cstheme="minorHAnsi"/>
        </w:rPr>
        <w:tab/>
        <w:t xml:space="preserve">REMISSVAR </w:t>
      </w:r>
    </w:p>
    <w:p w14:paraId="42543DAB" w14:textId="6358798B" w:rsidR="00FC2DC5" w:rsidRPr="00B41C29" w:rsidRDefault="00FC2DC5">
      <w:pPr>
        <w:rPr>
          <w:rFonts w:cstheme="minorHAnsi"/>
        </w:rPr>
      </w:pPr>
      <w:r w:rsidRPr="00B41C29">
        <w:rPr>
          <w:rFonts w:cstheme="minorHAnsi"/>
        </w:rPr>
        <w:t xml:space="preserve">                            Naturvårdsverkets riktlinjer för beslut om skyddsjakt på rovdjur </w:t>
      </w:r>
      <w:r w:rsidRPr="00B41C29">
        <w:rPr>
          <w:rFonts w:cstheme="minorHAnsi"/>
        </w:rPr>
        <w:br/>
        <w:t xml:space="preserve">                                                                           Reviderad 202</w:t>
      </w:r>
    </w:p>
    <w:p w14:paraId="766E279D" w14:textId="7AF2AAD1" w:rsidR="00FC2DC5" w:rsidRPr="00B41C29" w:rsidRDefault="00FC2DC5">
      <w:pPr>
        <w:rPr>
          <w:rFonts w:cstheme="minorHAnsi"/>
        </w:rPr>
      </w:pPr>
    </w:p>
    <w:p w14:paraId="55F13A96" w14:textId="7B60DFC7" w:rsidR="00FC2DC5" w:rsidRPr="00B41C29" w:rsidRDefault="00FC2DC5">
      <w:pPr>
        <w:rPr>
          <w:rFonts w:cstheme="minorHAnsi"/>
        </w:rPr>
      </w:pPr>
      <w:r w:rsidRPr="00B41C29">
        <w:rPr>
          <w:rFonts w:cstheme="minorHAnsi"/>
        </w:rPr>
        <w:t xml:space="preserve">Härmed lämnas </w:t>
      </w:r>
      <w:r w:rsidRPr="00B41C29">
        <w:rPr>
          <w:rFonts w:cstheme="minorHAnsi"/>
          <w:color w:val="FF0000"/>
        </w:rPr>
        <w:t>XX</w:t>
      </w:r>
      <w:r w:rsidRPr="00B41C29">
        <w:rPr>
          <w:rFonts w:cstheme="minorHAnsi"/>
        </w:rPr>
        <w:t>:s remissvar till det ovannämnda dokumentet.</w:t>
      </w:r>
    </w:p>
    <w:p w14:paraId="4E75CC21" w14:textId="1824EB20" w:rsidR="008C1F29" w:rsidRPr="00B41C29" w:rsidRDefault="008C1F29">
      <w:pPr>
        <w:rPr>
          <w:rFonts w:cstheme="minorHAnsi"/>
        </w:rPr>
      </w:pPr>
    </w:p>
    <w:p w14:paraId="193C4985" w14:textId="77777777" w:rsidR="008C1F29" w:rsidRPr="00B41C29" w:rsidRDefault="008C1F29" w:rsidP="008C1F29">
      <w:pPr>
        <w:rPr>
          <w:rFonts w:cstheme="minorHAnsi"/>
        </w:rPr>
      </w:pPr>
      <w:r w:rsidRPr="00B41C29">
        <w:rPr>
          <w:rFonts w:cstheme="minorHAnsi"/>
        </w:rPr>
        <w:t>REMISSVAR</w:t>
      </w:r>
    </w:p>
    <w:p w14:paraId="38DD2BAA" w14:textId="7A92E7EC" w:rsidR="008C1F29" w:rsidRPr="00B41C29" w:rsidRDefault="00A74656" w:rsidP="008C1F29">
      <w:pPr>
        <w:rPr>
          <w:rFonts w:cstheme="minorHAnsi"/>
        </w:rPr>
      </w:pPr>
      <w:r w:rsidRPr="00B41C29">
        <w:rPr>
          <w:rFonts w:cstheme="minorHAnsi"/>
          <w:noProof/>
        </w:rPr>
        <mc:AlternateContent>
          <mc:Choice Requires="wps">
            <w:drawing>
              <wp:anchor distT="0" distB="0" distL="114300" distR="114300" simplePos="0" relativeHeight="251659264" behindDoc="0" locked="0" layoutInCell="1" allowOverlap="1" wp14:anchorId="70D8342E" wp14:editId="78373F7D">
                <wp:simplePos x="0" y="0"/>
                <wp:positionH relativeFrom="column">
                  <wp:posOffset>-146649</wp:posOffset>
                </wp:positionH>
                <wp:positionV relativeFrom="paragraph">
                  <wp:posOffset>136297</wp:posOffset>
                </wp:positionV>
                <wp:extent cx="5952226" cy="2139351"/>
                <wp:effectExtent l="0" t="0" r="10795" b="13335"/>
                <wp:wrapNone/>
                <wp:docPr id="4" name="Rektangel 4"/>
                <wp:cNvGraphicFramePr/>
                <a:graphic xmlns:a="http://schemas.openxmlformats.org/drawingml/2006/main">
                  <a:graphicData uri="http://schemas.microsoft.com/office/word/2010/wordprocessingShape">
                    <wps:wsp>
                      <wps:cNvSpPr/>
                      <wps:spPr>
                        <a:xfrm>
                          <a:off x="0" y="0"/>
                          <a:ext cx="5952226" cy="213935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E83AA2" id="Rektangel 4" o:spid="_x0000_s1026" style="position:absolute;margin-left:-11.55pt;margin-top:10.75pt;width:468.7pt;height:16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" filled="f" strokecolor="#1f3763 [1604]" strokeweight="1pt"/>
            </w:pict>
          </mc:Fallback>
        </mc:AlternateContent>
      </w:r>
    </w:p>
    <w:p w14:paraId="17E0E304" w14:textId="77777777" w:rsidR="008C1F29" w:rsidRPr="00B41C29" w:rsidRDefault="008C1F29" w:rsidP="008C1F29">
      <w:pPr>
        <w:rPr>
          <w:rFonts w:cstheme="minorHAnsi"/>
          <w:b/>
          <w:bCs/>
          <w:i/>
          <w:iCs/>
        </w:rPr>
      </w:pPr>
      <w:r w:rsidRPr="00B41C29">
        <w:rPr>
          <w:rFonts w:cstheme="minorHAnsi"/>
          <w:b/>
          <w:bCs/>
          <w:i/>
          <w:iCs/>
        </w:rPr>
        <w:t>”Förord” (s. 3)</w:t>
      </w:r>
    </w:p>
    <w:p w14:paraId="2971C428" w14:textId="77777777" w:rsidR="008C1F29" w:rsidRPr="00B41C29" w:rsidRDefault="008C1F29" w:rsidP="008C1F29">
      <w:pPr>
        <w:rPr>
          <w:rFonts w:cstheme="minorHAnsi"/>
          <w:i/>
          <w:iCs/>
        </w:rPr>
      </w:pPr>
      <w:r w:rsidRPr="00B41C29">
        <w:rPr>
          <w:rFonts w:cstheme="minorHAnsi"/>
          <w:i/>
          <w:iCs/>
        </w:rPr>
        <w:t xml:space="preserve">”Naturvårdsverket tog 2012 fram riktlinjer för beslut om skyddsjakt på regeringens uppdrag. Under 2022 har riktlinjerna, som berör de stora rovdjuren, reviderats. En revidering av den del som berör övrigt vilt kommer att ske i ett senare skede. Dessa riktlinjer har till syfte att vara ett stöd för länsstyrelsernas handläggning av ansökningar om skyddsjakt på stora rovdjur. Riktlinjerna behandlar skyddsjakt enligt 23 a och 23 b och 29 §§ jaktförordningen (1987:905). Under arbetets gång har också synpunkter inhämtats och riktlinjerna remitterats. Naturvårdsverket tackar alla som bidragit med synpunkter. Naturvårdsverket avser att arbeta vidare med riktlinjerna för att uppdatera, fördjupa och komplettera där så behövs. </w:t>
      </w:r>
      <w:r w:rsidRPr="00B41C29">
        <w:rPr>
          <w:rFonts w:cstheme="minorHAnsi"/>
          <w:i/>
          <w:iCs/>
        </w:rPr>
        <w:br/>
        <w:t>Stockholm 1 xxx 2023”</w:t>
      </w:r>
    </w:p>
    <w:p w14:paraId="5890275F" w14:textId="77777777" w:rsidR="00A74656" w:rsidRPr="00B41C29" w:rsidRDefault="00A74656" w:rsidP="008C1F29">
      <w:pPr>
        <w:rPr>
          <w:rFonts w:cstheme="minorHAnsi"/>
        </w:rPr>
      </w:pPr>
    </w:p>
    <w:p w14:paraId="0C7EF2C0" w14:textId="5D3B4A90" w:rsidR="008C1F29" w:rsidRPr="00B41C29" w:rsidRDefault="008C1F29" w:rsidP="008C1F29">
      <w:pPr>
        <w:rPr>
          <w:rFonts w:cstheme="minorHAnsi"/>
          <w:u w:val="single"/>
        </w:rPr>
      </w:pPr>
      <w:r w:rsidRPr="00B41C29">
        <w:rPr>
          <w:rFonts w:cstheme="minorHAnsi"/>
          <w:u w:val="single"/>
        </w:rPr>
        <w:t xml:space="preserve">Riktlinjer </w:t>
      </w:r>
      <w:r w:rsidRPr="00B41C29">
        <w:rPr>
          <w:rFonts w:cstheme="minorHAnsi"/>
        </w:rPr>
        <w:t>är styrande dokument</w:t>
      </w:r>
      <w:r w:rsidRPr="00B41C29">
        <w:rPr>
          <w:rFonts w:cstheme="minorHAnsi"/>
          <w:i/>
          <w:iCs/>
        </w:rPr>
        <w:t xml:space="preserve"> </w:t>
      </w:r>
      <w:r w:rsidRPr="00B41C29">
        <w:rPr>
          <w:rFonts w:cstheme="minorHAnsi"/>
        </w:rPr>
        <w:t xml:space="preserve">som berör den egna organisationen, i detta fall Naturvårdsverket. Dessa är </w:t>
      </w:r>
      <w:r w:rsidRPr="00B41C29">
        <w:rPr>
          <w:rFonts w:cstheme="minorHAnsi"/>
          <w:u w:val="single"/>
        </w:rPr>
        <w:t>inte juridiskt bindande</w:t>
      </w:r>
      <w:r w:rsidRPr="00B41C29">
        <w:rPr>
          <w:rFonts w:cstheme="minorHAnsi"/>
        </w:rPr>
        <w:t xml:space="preserve">. Bindande regler har alltid företräde. Det innebär att regler som inte är bindande alltid måste tas fram med utgångspunkt i bindande regler för den aktuella frågan, området eller verksamheten. I detta fall gäller riktlinjerna för beslut som har en EU-rättslig kraft, eftersom skyddsjaktsbeslut är alltid ett undantag från art- och habitatdirektivets absoluta förbud för att döda vilda djur som uttrycks i artiklarna 2 och 12. </w:t>
      </w:r>
      <w:r w:rsidRPr="00B41C29">
        <w:rPr>
          <w:rFonts w:cstheme="minorHAnsi"/>
          <w:u w:val="single"/>
        </w:rPr>
        <w:t>Därmed kan dessa riktlinjer inte strida mot EU-rätten, något som de gör</w:t>
      </w:r>
      <w:r w:rsidR="009D2883" w:rsidRPr="00B41C29">
        <w:rPr>
          <w:rFonts w:cstheme="minorHAnsi"/>
          <w:u w:val="single"/>
        </w:rPr>
        <w:t xml:space="preserve"> </w:t>
      </w:r>
      <w:r w:rsidR="00A74656" w:rsidRPr="00B41C29">
        <w:rPr>
          <w:rFonts w:cstheme="minorHAnsi"/>
          <w:u w:val="single"/>
        </w:rPr>
        <w:t>enligt det lagda</w:t>
      </w:r>
      <w:r w:rsidR="009D2883" w:rsidRPr="00B41C29">
        <w:rPr>
          <w:rFonts w:cstheme="minorHAnsi"/>
          <w:u w:val="single"/>
        </w:rPr>
        <w:t xml:space="preserve"> förslaget.</w:t>
      </w:r>
    </w:p>
    <w:p w14:paraId="52E7E617" w14:textId="4A34BF1B" w:rsidR="000027FD" w:rsidRPr="00B41C29" w:rsidRDefault="008C1F29" w:rsidP="008C1F29">
      <w:pPr>
        <w:rPr>
          <w:rFonts w:cstheme="minorHAnsi"/>
        </w:rPr>
      </w:pPr>
      <w:r w:rsidRPr="00B41C29">
        <w:rPr>
          <w:rFonts w:cstheme="minorHAnsi"/>
        </w:rPr>
        <w:t xml:space="preserve">Det är också viktigt att hålla i minnet att </w:t>
      </w:r>
      <w:r w:rsidRPr="00B41C29">
        <w:rPr>
          <w:rFonts w:cstheme="minorHAnsi"/>
          <w:u w:val="single"/>
        </w:rPr>
        <w:t xml:space="preserve">de 21 länsstyrelserna </w:t>
      </w:r>
      <w:r w:rsidR="00A74656" w:rsidRPr="00B41C29">
        <w:rPr>
          <w:rFonts w:cstheme="minorHAnsi"/>
          <w:u w:val="single"/>
        </w:rPr>
        <w:t xml:space="preserve">som riktlinjerna främst riktas mot </w:t>
      </w:r>
      <w:r w:rsidRPr="00B41C29">
        <w:rPr>
          <w:rFonts w:cstheme="minorHAnsi"/>
          <w:u w:val="single"/>
        </w:rPr>
        <w:t>är alla egna fristående förvaltningsmyndigheter</w:t>
      </w:r>
      <w:r w:rsidRPr="00B41C29">
        <w:rPr>
          <w:rFonts w:cstheme="minorHAnsi"/>
        </w:rPr>
        <w:t xml:space="preserve"> och svarar för sitt beslutsfattande inom kompetenserna som tillfaller EU som sådana, samt måste leva upp till förvaltningslagens krav på rättvis och rättssäker administration och beslutsfattande.</w:t>
      </w:r>
      <w:r w:rsidR="009D2883" w:rsidRPr="00B41C29">
        <w:rPr>
          <w:rFonts w:cstheme="minorHAnsi"/>
        </w:rPr>
        <w:t xml:space="preserve"> </w:t>
      </w:r>
    </w:p>
    <w:p w14:paraId="553708E6" w14:textId="3A69B233" w:rsidR="008C1F29" w:rsidRPr="00B41C29" w:rsidRDefault="009D2883" w:rsidP="008C1F29">
      <w:pPr>
        <w:rPr>
          <w:rFonts w:cstheme="minorHAnsi"/>
          <w:i/>
          <w:iCs/>
        </w:rPr>
      </w:pPr>
      <w:r w:rsidRPr="00B41C29">
        <w:rPr>
          <w:rFonts w:cstheme="minorHAnsi"/>
          <w:u w:val="single"/>
        </w:rPr>
        <w:t>Naturvårdsverket i sin tur kan ej delegera sitt ansvar</w:t>
      </w:r>
      <w:r w:rsidRPr="00B41C29">
        <w:rPr>
          <w:rFonts w:cstheme="minorHAnsi"/>
        </w:rPr>
        <w:t xml:space="preserve"> </w:t>
      </w:r>
      <w:r w:rsidR="00A74656" w:rsidRPr="00B41C29">
        <w:rPr>
          <w:rFonts w:cstheme="minorHAnsi"/>
        </w:rPr>
        <w:t xml:space="preserve">- bara uppgifter - </w:t>
      </w:r>
      <w:r w:rsidR="000027FD" w:rsidRPr="00B41C29">
        <w:rPr>
          <w:rFonts w:cstheme="minorHAnsi"/>
        </w:rPr>
        <w:t xml:space="preserve">som den kompetenta sektorsmyndigheten som ansvarar för att EU:s miljödirektiv ska implementeras korrekt i Sverige, enligt förordningen (2012:989) med instruktion för Naturvårdsverket, där det framgår att Naturvårdsverket ansvarar för internationell rapportering inom sitt ansvarsområde på miljöområdet. </w:t>
      </w:r>
      <w:r w:rsidR="008C1F29" w:rsidRPr="00B41C29">
        <w:rPr>
          <w:rFonts w:cstheme="minorHAnsi"/>
          <w:i/>
          <w:iCs/>
        </w:rPr>
        <w:t xml:space="preserve"> </w:t>
      </w:r>
    </w:p>
    <w:p w14:paraId="3B5D55DE" w14:textId="780BA82B" w:rsidR="008C1F29" w:rsidRPr="00B41C29" w:rsidRDefault="008C1F29" w:rsidP="008C1F29">
      <w:pPr>
        <w:rPr>
          <w:rFonts w:cstheme="minorHAnsi"/>
        </w:rPr>
      </w:pPr>
      <w:r w:rsidRPr="00B41C29">
        <w:rPr>
          <w:rFonts w:cstheme="minorHAnsi"/>
        </w:rPr>
        <w:t>Det är beklämmande att trots omfattande kritik mot Naturvårdsverket som obstruerade mot EU-rätten redan under de tidigare riktlinjerna</w:t>
      </w:r>
      <w:r w:rsidR="00A74656" w:rsidRPr="00B41C29">
        <w:rPr>
          <w:rFonts w:cstheme="minorHAnsi"/>
        </w:rPr>
        <w:t xml:space="preserve"> från 2012</w:t>
      </w:r>
      <w:r w:rsidRPr="00B41C29">
        <w:rPr>
          <w:rFonts w:cstheme="minorHAnsi"/>
        </w:rPr>
        <w:t>,</w:t>
      </w:r>
      <w:r w:rsidR="00A74656" w:rsidRPr="00B41C29">
        <w:rPr>
          <w:rFonts w:cstheme="minorHAnsi"/>
        </w:rPr>
        <w:t xml:space="preserve"> fortsätter myndigheten att vara slarvig i den EU-rättsliga tolkningen. </w:t>
      </w:r>
    </w:p>
    <w:p w14:paraId="010249CD" w14:textId="4FD5F12C" w:rsidR="000027FD" w:rsidRPr="00B41C29" w:rsidRDefault="000027FD" w:rsidP="008C1F29">
      <w:pPr>
        <w:rPr>
          <w:rFonts w:cstheme="minorHAnsi"/>
        </w:rPr>
      </w:pPr>
    </w:p>
    <w:p w14:paraId="5B5CFBFF" w14:textId="77777777" w:rsidR="008C1F29" w:rsidRPr="00B41C29" w:rsidRDefault="008C1F29">
      <w:pPr>
        <w:rPr>
          <w:rFonts w:cstheme="minorHAnsi"/>
        </w:rPr>
      </w:pPr>
    </w:p>
    <w:p w14:paraId="359D29A9" w14:textId="0711F256" w:rsidR="00FC2DC5" w:rsidRPr="00B41C29" w:rsidRDefault="00A74656">
      <w:pPr>
        <w:rPr>
          <w:rFonts w:cstheme="minorHAnsi"/>
        </w:rPr>
      </w:pPr>
      <w:r w:rsidRPr="00B41C29">
        <w:rPr>
          <w:rFonts w:cstheme="minorHAnsi"/>
          <w:noProof/>
        </w:rPr>
        <mc:AlternateContent>
          <mc:Choice Requires="wps">
            <w:drawing>
              <wp:anchor distT="0" distB="0" distL="114300" distR="114300" simplePos="0" relativeHeight="251660288" behindDoc="0" locked="0" layoutInCell="1" allowOverlap="1" wp14:anchorId="568A7D6C" wp14:editId="6A885319">
                <wp:simplePos x="0" y="0"/>
                <wp:positionH relativeFrom="column">
                  <wp:posOffset>-68461</wp:posOffset>
                </wp:positionH>
                <wp:positionV relativeFrom="paragraph">
                  <wp:posOffset>161290</wp:posOffset>
                </wp:positionV>
                <wp:extent cx="2691441" cy="353683"/>
                <wp:effectExtent l="0" t="0" r="13970" b="27940"/>
                <wp:wrapNone/>
                <wp:docPr id="5" name="Rektangel 5"/>
                <wp:cNvGraphicFramePr/>
                <a:graphic xmlns:a="http://schemas.openxmlformats.org/drawingml/2006/main">
                  <a:graphicData uri="http://schemas.microsoft.com/office/word/2010/wordprocessingShape">
                    <wps:wsp>
                      <wps:cNvSpPr/>
                      <wps:spPr>
                        <a:xfrm>
                          <a:off x="0" y="0"/>
                          <a:ext cx="2691441" cy="35368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8F43B3" id="Rektangel 5" o:spid="_x0000_s1026" style="position:absolute;margin-left:-5.4pt;margin-top:12.7pt;width:211.9pt;height:27.8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" filled="f" strokecolor="#1f3763 [1604]" strokeweight="1pt"/>
            </w:pict>
          </mc:Fallback>
        </mc:AlternateContent>
      </w:r>
    </w:p>
    <w:p w14:paraId="1164EEFB" w14:textId="7598BF76" w:rsidR="00FC2DC5" w:rsidRPr="00B41C29" w:rsidRDefault="00FC2DC5" w:rsidP="00A74656">
      <w:pPr>
        <w:tabs>
          <w:tab w:val="center" w:pos="4513"/>
        </w:tabs>
        <w:rPr>
          <w:rFonts w:cstheme="minorHAnsi"/>
          <w:b/>
          <w:bCs/>
          <w:i/>
          <w:iCs/>
        </w:rPr>
      </w:pPr>
      <w:r w:rsidRPr="00B41C29">
        <w:rPr>
          <w:rFonts w:cstheme="minorHAnsi"/>
          <w:b/>
          <w:bCs/>
          <w:i/>
          <w:iCs/>
        </w:rPr>
        <w:t>Kapitel 3</w:t>
      </w:r>
      <w:r w:rsidR="009326B8" w:rsidRPr="00B41C29">
        <w:rPr>
          <w:rFonts w:cstheme="minorHAnsi"/>
          <w:b/>
          <w:bCs/>
          <w:i/>
          <w:iCs/>
        </w:rPr>
        <w:t>. Bakomliggande EU-lagstiftningen</w:t>
      </w:r>
      <w:r w:rsidR="00A74656" w:rsidRPr="00B41C29">
        <w:rPr>
          <w:rFonts w:cstheme="minorHAnsi"/>
          <w:b/>
          <w:bCs/>
          <w:i/>
          <w:iCs/>
        </w:rPr>
        <w:tab/>
      </w:r>
    </w:p>
    <w:p w14:paraId="53F791A8" w14:textId="77777777" w:rsidR="00A74656" w:rsidRPr="00B41C29" w:rsidRDefault="00A74656">
      <w:pPr>
        <w:rPr>
          <w:rFonts w:cstheme="minorHAnsi"/>
        </w:rPr>
      </w:pPr>
    </w:p>
    <w:p w14:paraId="223DB5D1" w14:textId="47E769EA" w:rsidR="00FC2DC5" w:rsidRPr="00B41C29" w:rsidRDefault="00FC2DC5">
      <w:pPr>
        <w:rPr>
          <w:rFonts w:cstheme="minorHAnsi"/>
        </w:rPr>
      </w:pPr>
      <w:r w:rsidRPr="00B41C29">
        <w:rPr>
          <w:rFonts w:cstheme="minorHAnsi"/>
          <w:color w:val="FF0000"/>
        </w:rPr>
        <w:t>XX</w:t>
      </w:r>
      <w:r w:rsidRPr="00B41C29">
        <w:rPr>
          <w:rFonts w:cstheme="minorHAnsi"/>
        </w:rPr>
        <w:t xml:space="preserve"> vill först understryka att remissinhämtning för riktlinjerna sker när Sverige har precis fått ordförandeskapet i EU, från och med 1 januari 2022, och därmed är det ytterst viktigt att den EU-rättsliga tolkningen av </w:t>
      </w:r>
      <w:r w:rsidR="00A74656" w:rsidRPr="00B41C29">
        <w:rPr>
          <w:rFonts w:cstheme="minorHAnsi"/>
          <w:u w:val="single"/>
        </w:rPr>
        <w:t>a</w:t>
      </w:r>
      <w:r w:rsidRPr="00B41C29">
        <w:rPr>
          <w:rFonts w:cstheme="minorHAnsi"/>
          <w:u w:val="single"/>
        </w:rPr>
        <w:t>rt- och habitatdirektivet</w:t>
      </w:r>
      <w:r w:rsidRPr="00B41C29">
        <w:rPr>
          <w:rFonts w:cstheme="minorHAnsi"/>
        </w:rPr>
        <w:t xml:space="preserve"> </w:t>
      </w:r>
      <w:r w:rsidR="00A74656" w:rsidRPr="00B41C29">
        <w:rPr>
          <w:rFonts w:cstheme="minorHAnsi"/>
        </w:rPr>
        <w:t xml:space="preserve">(rådets direktiv 92/43/EEG) </w:t>
      </w:r>
      <w:r w:rsidRPr="00B41C29">
        <w:rPr>
          <w:rFonts w:cstheme="minorHAnsi"/>
        </w:rPr>
        <w:t xml:space="preserve">som </w:t>
      </w:r>
      <w:r w:rsidR="00A74656" w:rsidRPr="00B41C29">
        <w:rPr>
          <w:rFonts w:cstheme="minorHAnsi"/>
        </w:rPr>
        <w:t xml:space="preserve">beslutsfattandet som </w:t>
      </w:r>
      <w:r w:rsidRPr="00B41C29">
        <w:rPr>
          <w:rFonts w:cstheme="minorHAnsi"/>
        </w:rPr>
        <w:t xml:space="preserve">riktlinjerna </w:t>
      </w:r>
      <w:r w:rsidR="00A74656" w:rsidRPr="00B41C29">
        <w:rPr>
          <w:rFonts w:cstheme="minorHAnsi"/>
        </w:rPr>
        <w:t>riktar sig mot</w:t>
      </w:r>
      <w:r w:rsidRPr="00B41C29">
        <w:rPr>
          <w:rFonts w:cstheme="minorHAnsi"/>
        </w:rPr>
        <w:t xml:space="preserve">, blir korrekt. Vidare är det </w:t>
      </w:r>
      <w:r w:rsidR="00A74656" w:rsidRPr="00B41C29">
        <w:rPr>
          <w:rFonts w:cstheme="minorHAnsi"/>
        </w:rPr>
        <w:t>nödvändigt</w:t>
      </w:r>
      <w:r w:rsidRPr="00B41C29">
        <w:rPr>
          <w:rFonts w:cstheme="minorHAnsi"/>
        </w:rPr>
        <w:t xml:space="preserve"> </w:t>
      </w:r>
      <w:r w:rsidR="00A74656" w:rsidRPr="00B41C29">
        <w:rPr>
          <w:rFonts w:cstheme="minorHAnsi"/>
        </w:rPr>
        <w:t>eftersom</w:t>
      </w:r>
      <w:r w:rsidRPr="00B41C29">
        <w:rPr>
          <w:rFonts w:cstheme="minorHAnsi"/>
        </w:rPr>
        <w:t xml:space="preserve"> Naturvårdsverket</w:t>
      </w:r>
      <w:r w:rsidR="00A74656" w:rsidRPr="00B41C29">
        <w:rPr>
          <w:rFonts w:cstheme="minorHAnsi"/>
        </w:rPr>
        <w:t xml:space="preserve"> </w:t>
      </w:r>
      <w:r w:rsidRPr="00B41C29">
        <w:rPr>
          <w:rFonts w:cstheme="minorHAnsi"/>
        </w:rPr>
        <w:t xml:space="preserve">är en sektorsmyndighet </w:t>
      </w:r>
      <w:r w:rsidR="00A74656" w:rsidRPr="00B41C29">
        <w:rPr>
          <w:rFonts w:cstheme="minorHAnsi"/>
        </w:rPr>
        <w:t>som</w:t>
      </w:r>
      <w:r w:rsidRPr="00B41C29">
        <w:rPr>
          <w:rFonts w:cstheme="minorHAnsi"/>
        </w:rPr>
        <w:t xml:space="preserve"> ansvarar som rapporterande myndighet till EU-kommissionen </w:t>
      </w:r>
      <w:r w:rsidR="00A74656" w:rsidRPr="00B41C29">
        <w:rPr>
          <w:rFonts w:cstheme="minorHAnsi"/>
        </w:rPr>
        <w:t>om</w:t>
      </w:r>
      <w:r w:rsidRPr="00B41C29">
        <w:rPr>
          <w:rFonts w:cstheme="minorHAnsi"/>
        </w:rPr>
        <w:t xml:space="preserve"> att medlemsstat Sveriges tillämpning och tolkning av EU-rätten sker korrekt</w:t>
      </w:r>
      <w:r w:rsidR="00A74656" w:rsidRPr="00B41C29">
        <w:rPr>
          <w:rStyle w:val="Fotnotsreferens"/>
          <w:rFonts w:cstheme="minorHAnsi"/>
        </w:rPr>
        <w:footnoteReference w:id="1"/>
      </w:r>
      <w:r w:rsidRPr="00B41C29">
        <w:rPr>
          <w:rFonts w:cstheme="minorHAnsi"/>
        </w:rPr>
        <w:t xml:space="preserve"> inom områden som träffas av direktivet</w:t>
      </w:r>
      <w:r w:rsidR="00A74656" w:rsidRPr="00B41C29">
        <w:rPr>
          <w:rFonts w:cstheme="minorHAnsi"/>
        </w:rPr>
        <w:t>, dvs skyddet av rovdjuren.</w:t>
      </w:r>
    </w:p>
    <w:p w14:paraId="2CFDC9B6" w14:textId="094CD640" w:rsidR="009326B8" w:rsidRPr="00B41C29" w:rsidRDefault="009326B8">
      <w:pPr>
        <w:rPr>
          <w:rFonts w:cstheme="minorHAnsi"/>
        </w:rPr>
      </w:pPr>
      <w:r w:rsidRPr="00B41C29">
        <w:rPr>
          <w:rFonts w:cstheme="minorHAnsi"/>
        </w:rPr>
        <w:t xml:space="preserve">I och med riktlinjerna riktas till nationella förvaltningsmyndigheter såsom </w:t>
      </w:r>
      <w:r w:rsidR="00D923EA" w:rsidRPr="00B41C29">
        <w:rPr>
          <w:rFonts w:cstheme="minorHAnsi"/>
        </w:rPr>
        <w:t>l</w:t>
      </w:r>
      <w:r w:rsidRPr="00B41C29">
        <w:rPr>
          <w:rFonts w:cstheme="minorHAnsi"/>
        </w:rPr>
        <w:t xml:space="preserve">änsstyrelserna, </w:t>
      </w:r>
      <w:r w:rsidR="002B6C92" w:rsidRPr="00B41C29">
        <w:rPr>
          <w:rFonts w:cstheme="minorHAnsi"/>
        </w:rPr>
        <w:t>s</w:t>
      </w:r>
      <w:r w:rsidRPr="00B41C29">
        <w:rPr>
          <w:rFonts w:cstheme="minorHAnsi"/>
        </w:rPr>
        <w:t xml:space="preserve">om har </w:t>
      </w:r>
      <w:r w:rsidRPr="00B41C29">
        <w:rPr>
          <w:rFonts w:cstheme="minorHAnsi"/>
          <w:u w:val="single"/>
        </w:rPr>
        <w:t>en skyldighet att uppfölja EU-rätten</w:t>
      </w:r>
      <w:r w:rsidR="002B6C92" w:rsidRPr="00B41C29">
        <w:rPr>
          <w:rFonts w:cstheme="minorHAnsi"/>
        </w:rPr>
        <w:t>,</w:t>
      </w:r>
      <w:r w:rsidRPr="00B41C29">
        <w:rPr>
          <w:rFonts w:cstheme="minorHAnsi"/>
        </w:rPr>
        <w:t xml:space="preserve"> måste formuleringarna vara i enlighet med den gällande EU-rätten och dess tolkningsregler.</w:t>
      </w:r>
    </w:p>
    <w:p w14:paraId="03A70715" w14:textId="4B839DA9" w:rsidR="00346B59" w:rsidRPr="00B41C29" w:rsidRDefault="00346B59">
      <w:pPr>
        <w:rPr>
          <w:rFonts w:cstheme="minorHAnsi"/>
        </w:rPr>
      </w:pPr>
      <w:r w:rsidRPr="00B41C29">
        <w:rPr>
          <w:rFonts w:cstheme="minorHAnsi"/>
        </w:rPr>
        <w:t xml:space="preserve">Vidare enligt EU:s tolkningsregler </w:t>
      </w:r>
      <w:r w:rsidRPr="00B41C29">
        <w:rPr>
          <w:rFonts w:cstheme="minorHAnsi"/>
          <w:u w:val="single"/>
        </w:rPr>
        <w:t xml:space="preserve">är EU-domstolens praxis gällande rätt </w:t>
      </w:r>
      <w:r w:rsidRPr="00B41C29">
        <w:rPr>
          <w:rFonts w:cstheme="minorHAnsi"/>
          <w:i/>
          <w:iCs/>
        </w:rPr>
        <w:t>(</w:t>
      </w:r>
      <w:proofErr w:type="spellStart"/>
      <w:r w:rsidRPr="00B41C29">
        <w:rPr>
          <w:rFonts w:cstheme="minorHAnsi"/>
          <w:i/>
          <w:iCs/>
        </w:rPr>
        <w:t>case</w:t>
      </w:r>
      <w:proofErr w:type="spellEnd"/>
      <w:r w:rsidRPr="00B41C29">
        <w:rPr>
          <w:rFonts w:cstheme="minorHAnsi"/>
          <w:i/>
          <w:iCs/>
        </w:rPr>
        <w:t xml:space="preserve"> </w:t>
      </w:r>
      <w:proofErr w:type="spellStart"/>
      <w:r w:rsidR="009326B8" w:rsidRPr="00B41C29">
        <w:rPr>
          <w:rFonts w:cstheme="minorHAnsi"/>
          <w:i/>
          <w:iCs/>
        </w:rPr>
        <w:t>law</w:t>
      </w:r>
      <w:proofErr w:type="spellEnd"/>
      <w:r w:rsidR="009326B8" w:rsidRPr="00B41C29">
        <w:rPr>
          <w:rFonts w:cstheme="minorHAnsi"/>
          <w:i/>
          <w:iCs/>
        </w:rPr>
        <w:t>)</w:t>
      </w:r>
      <w:r w:rsidR="009326B8" w:rsidRPr="00B41C29">
        <w:rPr>
          <w:rFonts w:cstheme="minorHAnsi"/>
        </w:rPr>
        <w:t xml:space="preserve"> i</w:t>
      </w:r>
      <w:r w:rsidRPr="00B41C29">
        <w:rPr>
          <w:rFonts w:cstheme="minorHAnsi"/>
        </w:rPr>
        <w:t xml:space="preserve"> medlemsstater, och tolkas som lag – och har därmed högre rättskraft än praxis från nationella domstolar i Sverige. Därmed kan man inte plocka vilka domar som hänvisas till eftersom de alla har rättskraft som lag, utan man måste ta de senaste först med den färskaste tolkningen från domstolen. </w:t>
      </w:r>
    </w:p>
    <w:p w14:paraId="390442F0" w14:textId="77777777" w:rsidR="009326B8" w:rsidRPr="00B41C29" w:rsidRDefault="00346B59">
      <w:pPr>
        <w:rPr>
          <w:rFonts w:cstheme="minorHAnsi"/>
        </w:rPr>
      </w:pPr>
      <w:r w:rsidRPr="00B41C29">
        <w:rPr>
          <w:rFonts w:cstheme="minorHAnsi"/>
        </w:rPr>
        <w:t xml:space="preserve">I de fall medlemslandet ej har implementerat ett direktiv i lag, eller kompromissat dess syfte och ändamål, gäller direkt effekt av direktivet vilket innebär att </w:t>
      </w:r>
      <w:r w:rsidRPr="00B41C29">
        <w:rPr>
          <w:rFonts w:cstheme="minorHAnsi"/>
          <w:u w:val="single"/>
        </w:rPr>
        <w:t xml:space="preserve">enligt EU:s primärrätt FEUF 288 föreskrivs direktivet </w:t>
      </w:r>
      <w:r w:rsidR="009326B8" w:rsidRPr="00B41C29">
        <w:rPr>
          <w:rFonts w:cstheme="minorHAnsi"/>
          <w:u w:val="single"/>
        </w:rPr>
        <w:t>bindande</w:t>
      </w:r>
      <w:r w:rsidRPr="00B41C29">
        <w:rPr>
          <w:rFonts w:cstheme="minorHAnsi"/>
          <w:u w:val="single"/>
        </w:rPr>
        <w:t xml:space="preserve"> för </w:t>
      </w:r>
      <w:r w:rsidR="009326B8" w:rsidRPr="00B41C29">
        <w:rPr>
          <w:rFonts w:cstheme="minorHAnsi"/>
          <w:u w:val="single"/>
        </w:rPr>
        <w:t>varje medlemsstat</w:t>
      </w:r>
      <w:r w:rsidRPr="00B41C29">
        <w:rPr>
          <w:rFonts w:cstheme="minorHAnsi"/>
          <w:u w:val="single"/>
        </w:rPr>
        <w:t xml:space="preserve"> till vilken det är </w:t>
      </w:r>
      <w:r w:rsidR="009326B8" w:rsidRPr="00B41C29">
        <w:rPr>
          <w:rFonts w:cstheme="minorHAnsi"/>
          <w:u w:val="single"/>
        </w:rPr>
        <w:t>riktat</w:t>
      </w:r>
      <w:r w:rsidRPr="00B41C29">
        <w:rPr>
          <w:rFonts w:cstheme="minorHAnsi"/>
        </w:rPr>
        <w:t xml:space="preserve">, men ska överlåta åt de nationella myndigheterna att </w:t>
      </w:r>
      <w:r w:rsidR="009326B8" w:rsidRPr="00B41C29">
        <w:rPr>
          <w:rFonts w:cstheme="minorHAnsi"/>
        </w:rPr>
        <w:t>bestämma</w:t>
      </w:r>
      <w:r w:rsidRPr="00B41C29">
        <w:rPr>
          <w:rFonts w:cstheme="minorHAnsi"/>
        </w:rPr>
        <w:t xml:space="preserve"> form och </w:t>
      </w:r>
      <w:r w:rsidR="009326B8" w:rsidRPr="00B41C29">
        <w:rPr>
          <w:rFonts w:cstheme="minorHAnsi"/>
        </w:rPr>
        <w:t xml:space="preserve">tillvägagångssättet </w:t>
      </w:r>
      <w:r w:rsidRPr="00B41C29">
        <w:rPr>
          <w:rFonts w:cstheme="minorHAnsi"/>
        </w:rPr>
        <w:t xml:space="preserve">för </w:t>
      </w:r>
      <w:r w:rsidR="009326B8" w:rsidRPr="00B41C29">
        <w:rPr>
          <w:rFonts w:cstheme="minorHAnsi"/>
        </w:rPr>
        <w:t>genomförandet</w:t>
      </w:r>
      <w:r w:rsidRPr="00B41C29">
        <w:rPr>
          <w:rFonts w:cstheme="minorHAnsi"/>
        </w:rPr>
        <w:t xml:space="preserve">. </w:t>
      </w:r>
    </w:p>
    <w:p w14:paraId="32C0C8C2" w14:textId="77777777" w:rsidR="009326B8" w:rsidRPr="00B41C29" w:rsidRDefault="00346B59">
      <w:pPr>
        <w:rPr>
          <w:rFonts w:cstheme="minorHAnsi"/>
        </w:rPr>
      </w:pPr>
      <w:r w:rsidRPr="00B41C29">
        <w:rPr>
          <w:rFonts w:cstheme="minorHAnsi"/>
        </w:rPr>
        <w:t xml:space="preserve">Om </w:t>
      </w:r>
      <w:r w:rsidRPr="00B41C29">
        <w:rPr>
          <w:rFonts w:cstheme="minorHAnsi"/>
          <w:u w:val="single"/>
        </w:rPr>
        <w:t xml:space="preserve">direktivet ej </w:t>
      </w:r>
      <w:r w:rsidR="009326B8" w:rsidRPr="00B41C29">
        <w:rPr>
          <w:rFonts w:cstheme="minorHAnsi"/>
          <w:u w:val="single"/>
        </w:rPr>
        <w:t>har</w:t>
      </w:r>
      <w:r w:rsidRPr="00B41C29">
        <w:rPr>
          <w:rFonts w:cstheme="minorHAnsi"/>
          <w:u w:val="single"/>
        </w:rPr>
        <w:t xml:space="preserve"> införlivats eller har införlivats felaktigt</w:t>
      </w:r>
      <w:r w:rsidRPr="00B41C29">
        <w:rPr>
          <w:rFonts w:cstheme="minorHAnsi"/>
        </w:rPr>
        <w:t xml:space="preserve"> vid tidsfristen för införlivandet, kan direktivet grunda rättigheter direkt – dvs få direkt effekt.  </w:t>
      </w:r>
    </w:p>
    <w:p w14:paraId="18395903" w14:textId="57E68330" w:rsidR="00346B59" w:rsidRPr="00B41C29" w:rsidRDefault="009326B8">
      <w:pPr>
        <w:rPr>
          <w:rFonts w:cstheme="minorHAnsi"/>
        </w:rPr>
      </w:pPr>
      <w:r w:rsidRPr="00B41C29">
        <w:rPr>
          <w:rFonts w:cstheme="minorHAnsi"/>
        </w:rPr>
        <w:t xml:space="preserve">Vidare erbjuder unionsrätten rättsskydd även vid avsaknad av direkt effekt genom gällande </w:t>
      </w:r>
      <w:r w:rsidRPr="00B41C29">
        <w:rPr>
          <w:rFonts w:cstheme="minorHAnsi"/>
          <w:u w:val="single"/>
        </w:rPr>
        <w:t>grundläggande rättsprinciper</w:t>
      </w:r>
      <w:r w:rsidRPr="00B41C29">
        <w:rPr>
          <w:rFonts w:cstheme="minorHAnsi"/>
        </w:rPr>
        <w:t xml:space="preserve"> som ingår primärrätten dvs har alltid företräde före nationell rätt. Skyldigheten att beakta dessa i hela den nationella rätten har fastställts i bland annat målet C-62/00 Marks &amp; Spencer och C397/</w:t>
      </w:r>
      <w:r w:rsidR="009D2883" w:rsidRPr="00B41C29">
        <w:rPr>
          <w:rFonts w:cstheme="minorHAnsi"/>
        </w:rPr>
        <w:t>01–403</w:t>
      </w:r>
      <w:r w:rsidRPr="00B41C29">
        <w:rPr>
          <w:rFonts w:cstheme="minorHAnsi"/>
        </w:rPr>
        <w:t>/01 Pfeiffer)</w:t>
      </w:r>
      <w:r w:rsidR="009D2883" w:rsidRPr="00B41C29">
        <w:rPr>
          <w:rFonts w:cstheme="minorHAnsi"/>
        </w:rPr>
        <w:t>. Principen om direkt effekt tillåter enskilda, företag och organisationer att direkt åberopa en unionsrättslig bestämmelse i en nationell eller europeisk domstol om det rör vissa av EU:s rättsakter, utan att bestämmelsen som helhet eller i delar är upptagen i den nationella lagstiftningen. Skyldigheterna som EU-bestämmelsen med direkt effekt fastställer ska vara precisa, tydliga och ovillkorliga samt inte kräva kompletterande nationella åtgärder eller gemenskapsåtgärder. EU-domstolen har fastställt att inom miljörätten uppfyller art- och habitatdirektivets artiklar 2, 12 och 16 dessa kriterier, som fastställts av EU-domstolen i Tapiola-målet</w:t>
      </w:r>
      <w:r w:rsidR="009D2883" w:rsidRPr="000D3FF9">
        <w:rPr>
          <w:rFonts w:cstheme="minorHAnsi"/>
        </w:rPr>
        <w:t xml:space="preserve">, </w:t>
      </w:r>
      <w:r w:rsidR="000D3FF9" w:rsidRPr="000D3FF9">
        <w:rPr>
          <w:rFonts w:cstheme="minorHAnsi"/>
        </w:rPr>
        <w:t>C-674/17.</w:t>
      </w:r>
      <w:r w:rsidR="009D2883" w:rsidRPr="000D3FF9">
        <w:rPr>
          <w:rFonts w:cstheme="minorHAnsi"/>
        </w:rPr>
        <w:t xml:space="preserve"> </w:t>
      </w:r>
      <w:r w:rsidR="009D2883" w:rsidRPr="00B41C29">
        <w:rPr>
          <w:rFonts w:cstheme="minorHAnsi"/>
        </w:rPr>
        <w:t>I miljörättsliga sammanhang innebär detta att skyddsjaktsbeslut ska följa de rigorösa kraven som EU-domstolen har ställt för att tillåta ett undantag från artiklarna 2 och 12 i art- och habitatdirektivet. EU-rättens direkta effekt garanterar rättens tillämpbarhet och effektivitet i EU-medlemsstaterna.</w:t>
      </w:r>
    </w:p>
    <w:p w14:paraId="3FFE04E7" w14:textId="06A0B908" w:rsidR="009D2883" w:rsidRPr="00B41C29" w:rsidRDefault="009D2883">
      <w:pPr>
        <w:rPr>
          <w:rFonts w:cstheme="minorHAnsi"/>
        </w:rPr>
      </w:pPr>
      <w:r w:rsidRPr="00B41C29">
        <w:rPr>
          <w:rFonts w:cstheme="minorHAnsi"/>
        </w:rPr>
        <w:lastRenderedPageBreak/>
        <w:t>Proportionalitetsprincipen ska säkerställa att de åtgärder som EU vidtar inte är mer ingripande än vad som krävs i det enskilda fallet. Proportionalitetsprincipen kodifieras i art. 5.4 FEU, Se mer om dess utveckling i Henrik Wenander: ”Proportionalitetsprincipen i 2017 års förvaltningslag” Förvaltningsrättslig tidskrift, 2018, s. 443–456.</w:t>
      </w:r>
    </w:p>
    <w:p w14:paraId="0F17B6B2" w14:textId="641199C2" w:rsidR="00346B59" w:rsidRPr="00B41C29" w:rsidRDefault="00346B59">
      <w:pPr>
        <w:rPr>
          <w:rFonts w:cstheme="minorHAnsi"/>
        </w:rPr>
      </w:pPr>
      <w:r w:rsidRPr="00B41C29">
        <w:rPr>
          <w:rFonts w:cstheme="minorHAnsi"/>
          <w:u w:val="single"/>
        </w:rPr>
        <w:t>Den EU-konforma tolkningen</w:t>
      </w:r>
      <w:r w:rsidRPr="00B41C29">
        <w:rPr>
          <w:rFonts w:cstheme="minorHAnsi"/>
        </w:rPr>
        <w:t xml:space="preserve"> innebär vidare långtgående form av fördragskonform tolkning (C-91/92</w:t>
      </w:r>
      <w:r w:rsidR="009326B8" w:rsidRPr="00B41C29">
        <w:rPr>
          <w:rFonts w:cstheme="minorHAnsi"/>
        </w:rPr>
        <w:t xml:space="preserve">, </w:t>
      </w:r>
      <w:proofErr w:type="spellStart"/>
      <w:r w:rsidR="009326B8" w:rsidRPr="00B41C29">
        <w:rPr>
          <w:rFonts w:cstheme="minorHAnsi"/>
        </w:rPr>
        <w:t>Faccini</w:t>
      </w:r>
      <w:proofErr w:type="spellEnd"/>
      <w:r w:rsidR="009326B8" w:rsidRPr="00B41C29">
        <w:rPr>
          <w:rFonts w:cstheme="minorHAnsi"/>
        </w:rPr>
        <w:t xml:space="preserve"> </w:t>
      </w:r>
      <w:proofErr w:type="spellStart"/>
      <w:r w:rsidR="009326B8" w:rsidRPr="00B41C29">
        <w:rPr>
          <w:rFonts w:cstheme="minorHAnsi"/>
        </w:rPr>
        <w:t>Dori</w:t>
      </w:r>
      <w:proofErr w:type="spellEnd"/>
      <w:r w:rsidR="009326B8" w:rsidRPr="00B41C29">
        <w:rPr>
          <w:rFonts w:cstheme="minorHAnsi"/>
        </w:rPr>
        <w:t xml:space="preserve">) vilket innebär </w:t>
      </w:r>
      <w:r w:rsidR="009326B8" w:rsidRPr="00B41C29">
        <w:rPr>
          <w:rFonts w:cstheme="minorHAnsi"/>
          <w:u w:val="single"/>
        </w:rPr>
        <w:t>unionsrättens företräde</w:t>
      </w:r>
      <w:r w:rsidR="009326B8" w:rsidRPr="00B41C29">
        <w:rPr>
          <w:rFonts w:cstheme="minorHAnsi"/>
        </w:rPr>
        <w:t xml:space="preserve"> och en generös tolkning utifrån unionsrätten.</w:t>
      </w:r>
    </w:p>
    <w:p w14:paraId="73CE9DC9" w14:textId="5F0C69CB" w:rsidR="002B6C92" w:rsidRPr="00B41C29" w:rsidRDefault="002B6C92">
      <w:pPr>
        <w:rPr>
          <w:rFonts w:cstheme="minorHAnsi"/>
        </w:rPr>
      </w:pPr>
      <w:r w:rsidRPr="00B41C29">
        <w:rPr>
          <w:rFonts w:cstheme="minorHAnsi"/>
        </w:rPr>
        <w:t xml:space="preserve">Naturvårdsverket anger inte att enligt konventionskonform tolkning är den EU-rättsliga praxisen bindande även för Sverige, något som </w:t>
      </w:r>
      <w:r w:rsidRPr="00B41C29">
        <w:rPr>
          <w:rFonts w:cstheme="minorHAnsi"/>
          <w:u w:val="single"/>
        </w:rPr>
        <w:t>leder till felaktig rättslig rådgivning</w:t>
      </w:r>
      <w:r w:rsidR="001E12EC" w:rsidRPr="00B41C29">
        <w:rPr>
          <w:rFonts w:cstheme="minorHAnsi"/>
          <w:u w:val="single"/>
        </w:rPr>
        <w:t xml:space="preserve"> till länsstyrelserna och jaktorganisationer</w:t>
      </w:r>
      <w:r w:rsidRPr="00B41C29">
        <w:rPr>
          <w:rFonts w:cstheme="minorHAnsi"/>
        </w:rPr>
        <w:t>.</w:t>
      </w:r>
      <w:r w:rsidR="00335A87" w:rsidRPr="00B41C29">
        <w:rPr>
          <w:rStyle w:val="Fotnotsreferens"/>
          <w:rFonts w:cstheme="minorHAnsi"/>
        </w:rPr>
        <w:footnoteReference w:id="2"/>
      </w:r>
    </w:p>
    <w:p w14:paraId="4597E078" w14:textId="3E3F8053" w:rsidR="0071736E" w:rsidRPr="00B41C29" w:rsidRDefault="0071736E">
      <w:pPr>
        <w:rPr>
          <w:rFonts w:cstheme="minorHAnsi"/>
        </w:rPr>
      </w:pPr>
      <w:r w:rsidRPr="00B41C29">
        <w:rPr>
          <w:rFonts w:cstheme="minorHAnsi"/>
          <w:i/>
          <w:iCs/>
          <w:noProof/>
        </w:rPr>
        <mc:AlternateContent>
          <mc:Choice Requires="wps">
            <w:drawing>
              <wp:anchor distT="0" distB="0" distL="114300" distR="114300" simplePos="0" relativeHeight="251661312" behindDoc="0" locked="0" layoutInCell="1" allowOverlap="1" wp14:anchorId="65A866D2" wp14:editId="6BF652DD">
                <wp:simplePos x="0" y="0"/>
                <wp:positionH relativeFrom="column">
                  <wp:posOffset>-68239</wp:posOffset>
                </wp:positionH>
                <wp:positionV relativeFrom="paragraph">
                  <wp:posOffset>134146</wp:posOffset>
                </wp:positionV>
                <wp:extent cx="4925060" cy="1344324"/>
                <wp:effectExtent l="0" t="0" r="27940" b="27305"/>
                <wp:wrapNone/>
                <wp:docPr id="6" name="Rektangel 6"/>
                <wp:cNvGraphicFramePr/>
                <a:graphic xmlns:a="http://schemas.openxmlformats.org/drawingml/2006/main">
                  <a:graphicData uri="http://schemas.microsoft.com/office/word/2010/wordprocessingShape">
                    <wps:wsp>
                      <wps:cNvSpPr/>
                      <wps:spPr>
                        <a:xfrm>
                          <a:off x="0" y="0"/>
                          <a:ext cx="4925060" cy="134432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D0CA58" id="Rektangel 6" o:spid="_x0000_s1026" style="position:absolute;margin-left:-5.35pt;margin-top:10.55pt;width:387.8pt;height:105.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" filled="f" strokecolor="#1f3763 [1604]" strokeweight="1pt"/>
            </w:pict>
          </mc:Fallback>
        </mc:AlternateContent>
      </w:r>
    </w:p>
    <w:p w14:paraId="0D94BA08" w14:textId="039D2274" w:rsidR="00384CED" w:rsidRPr="00B41C29" w:rsidRDefault="0071736E">
      <w:pPr>
        <w:rPr>
          <w:rFonts w:cstheme="minorHAnsi"/>
          <w:i/>
          <w:iCs/>
        </w:rPr>
      </w:pPr>
      <w:r w:rsidRPr="00B41C29">
        <w:rPr>
          <w:rFonts w:cstheme="minorHAnsi"/>
          <w:i/>
          <w:iCs/>
        </w:rPr>
        <w:t xml:space="preserve"> </w:t>
      </w:r>
      <w:r w:rsidRPr="00B41C29">
        <w:rPr>
          <w:rFonts w:cstheme="minorHAnsi"/>
          <w:b/>
          <w:bCs/>
          <w:i/>
          <w:iCs/>
        </w:rPr>
        <w:t>3.2 Tolkning av naturvårdsdirektiven</w:t>
      </w:r>
    </w:p>
    <w:p w14:paraId="5C7E65AC" w14:textId="50A65CED" w:rsidR="002B6C92" w:rsidRPr="00B41C29" w:rsidRDefault="002B6C92" w:rsidP="002B6C92">
      <w:pPr>
        <w:rPr>
          <w:rFonts w:cstheme="minorHAnsi"/>
          <w:i/>
          <w:iCs/>
        </w:rPr>
      </w:pPr>
      <w:r w:rsidRPr="00B41C29">
        <w:rPr>
          <w:rFonts w:cstheme="minorHAnsi"/>
          <w:i/>
          <w:iCs/>
        </w:rPr>
        <w:t xml:space="preserve">”Tolkningen av EU-direktiv </w:t>
      </w:r>
      <w:r w:rsidRPr="00B41C29">
        <w:rPr>
          <w:rFonts w:cstheme="minorHAnsi"/>
          <w:i/>
          <w:iCs/>
          <w:u w:val="single"/>
        </w:rPr>
        <w:t>bör ske</w:t>
      </w:r>
      <w:r w:rsidRPr="00B41C29">
        <w:rPr>
          <w:rFonts w:cstheme="minorHAnsi"/>
          <w:i/>
          <w:iCs/>
        </w:rPr>
        <w:t xml:space="preserve"> med stöd av EU-domstolens praxis.” </w:t>
      </w:r>
      <w:r w:rsidR="00A75C44" w:rsidRPr="00B41C29">
        <w:rPr>
          <w:rFonts w:cstheme="minorHAnsi"/>
          <w:i/>
          <w:iCs/>
        </w:rPr>
        <w:t>(s.8)</w:t>
      </w:r>
    </w:p>
    <w:p w14:paraId="3B7560B2" w14:textId="3C27B0E2" w:rsidR="002B6C92" w:rsidRPr="00B41C29" w:rsidRDefault="00335A87" w:rsidP="002B6C92">
      <w:pPr>
        <w:rPr>
          <w:rFonts w:cstheme="minorHAnsi"/>
        </w:rPr>
      </w:pPr>
      <w:r w:rsidRPr="00B41C29">
        <w:rPr>
          <w:rFonts w:cstheme="minorHAnsi"/>
        </w:rPr>
        <w:t>s</w:t>
      </w:r>
      <w:r w:rsidR="002B6C92" w:rsidRPr="00B41C29">
        <w:rPr>
          <w:rFonts w:cstheme="minorHAnsi"/>
        </w:rPr>
        <w:t>ka vara</w:t>
      </w:r>
    </w:p>
    <w:p w14:paraId="17358382" w14:textId="3C718AB8" w:rsidR="00D923EA" w:rsidRPr="00B41C29" w:rsidRDefault="002B6C92" w:rsidP="00D923EA">
      <w:pPr>
        <w:rPr>
          <w:rFonts w:cstheme="minorHAnsi"/>
          <w:i/>
          <w:iCs/>
        </w:rPr>
      </w:pPr>
      <w:r w:rsidRPr="00B41C29">
        <w:rPr>
          <w:rFonts w:cstheme="minorHAnsi"/>
          <w:i/>
          <w:iCs/>
        </w:rPr>
        <w:t xml:space="preserve">”Tolkningen av EU-direktiv </w:t>
      </w:r>
      <w:r w:rsidRPr="00B41C29">
        <w:rPr>
          <w:rFonts w:cstheme="minorHAnsi"/>
          <w:b/>
          <w:bCs/>
          <w:i/>
          <w:iCs/>
          <w:u w:val="single"/>
        </w:rPr>
        <w:t>ska ske</w:t>
      </w:r>
      <w:r w:rsidRPr="00B41C29">
        <w:rPr>
          <w:rFonts w:cstheme="minorHAnsi"/>
          <w:i/>
          <w:iCs/>
        </w:rPr>
        <w:t xml:space="preserve"> med stöd av EU-domstolens</w:t>
      </w:r>
      <w:r w:rsidR="00335A87" w:rsidRPr="00B41C29">
        <w:rPr>
          <w:rFonts w:cstheme="minorHAnsi"/>
          <w:i/>
          <w:iCs/>
        </w:rPr>
        <w:t xml:space="preserve"> </w:t>
      </w:r>
      <w:r w:rsidR="00335A87" w:rsidRPr="00B41C29">
        <w:rPr>
          <w:rFonts w:cstheme="minorHAnsi"/>
          <w:i/>
          <w:iCs/>
          <w:u w:val="single"/>
        </w:rPr>
        <w:t>bindande</w:t>
      </w:r>
      <w:r w:rsidRPr="00B41C29">
        <w:rPr>
          <w:rFonts w:cstheme="minorHAnsi"/>
          <w:i/>
          <w:iCs/>
        </w:rPr>
        <w:t xml:space="preserve"> praxis.” </w:t>
      </w:r>
    </w:p>
    <w:p w14:paraId="4FF83C2E" w14:textId="77777777" w:rsidR="00D923EA" w:rsidRPr="00B41C29" w:rsidRDefault="00D923EA" w:rsidP="002B6C92">
      <w:pPr>
        <w:rPr>
          <w:rFonts w:cstheme="minorHAnsi"/>
        </w:rPr>
      </w:pPr>
    </w:p>
    <w:p w14:paraId="30F19DB1" w14:textId="5412AC90" w:rsidR="00D923EA" w:rsidRPr="00B41C29" w:rsidRDefault="00D923EA" w:rsidP="002B6C92">
      <w:pPr>
        <w:rPr>
          <w:rFonts w:cstheme="minorHAnsi"/>
        </w:rPr>
      </w:pPr>
      <w:r w:rsidRPr="00B41C29">
        <w:rPr>
          <w:rFonts w:cstheme="minorHAnsi"/>
        </w:rPr>
        <w:t>Den ovannämnda meningen måste ändras då den strider mot EU-rättens företräde. Dels räcker inte formuleringen ”</w:t>
      </w:r>
      <w:r w:rsidRPr="00B41C29">
        <w:rPr>
          <w:rFonts w:cstheme="minorHAnsi"/>
          <w:u w:val="single"/>
        </w:rPr>
        <w:t>bör ske</w:t>
      </w:r>
      <w:r w:rsidRPr="00B41C29">
        <w:rPr>
          <w:rFonts w:cstheme="minorHAnsi"/>
        </w:rPr>
        <w:t>” – utan det måste vara ”</w:t>
      </w:r>
      <w:r w:rsidRPr="00B41C29">
        <w:rPr>
          <w:rFonts w:cstheme="minorHAnsi"/>
          <w:u w:val="single"/>
        </w:rPr>
        <w:t>ska</w:t>
      </w:r>
      <w:r w:rsidRPr="00B41C29">
        <w:rPr>
          <w:rFonts w:cstheme="minorHAnsi"/>
        </w:rPr>
        <w:t>”. EU-rätten har alltid företräde dvs bestämmelser i den nationella lagstiftningen som strider mot unionsrätten ska inte tillämpas (7/64 Costa mot Enel). Enligt företrädesprincipen rankas EU-rätten högre i unionens författningshierarki än medlemsstaternas nationella rätt inom områden där EU har fått den rättsliga kompetensen, såsom inom miljöskyddet där art- och habitatdirektivet verkar. Detta gäller både primära och sekundära rättsakter och har en bindande kraft. En nationell bestämmelse som strider mot EU-rätten kan därmed inte tillämpas, än mindre nationella riktlinjer som ej har rättskraft.</w:t>
      </w:r>
    </w:p>
    <w:p w14:paraId="2900EEB1" w14:textId="0CE60735" w:rsidR="0089121C" w:rsidRPr="00B41C29" w:rsidRDefault="00804801" w:rsidP="0089121C">
      <w:pPr>
        <w:rPr>
          <w:rFonts w:cstheme="minorHAnsi"/>
        </w:rPr>
      </w:pPr>
      <w:r w:rsidRPr="00B41C29">
        <w:rPr>
          <w:rFonts w:cstheme="minorHAnsi"/>
          <w:noProof/>
        </w:rPr>
        <mc:AlternateContent>
          <mc:Choice Requires="wps">
            <w:drawing>
              <wp:anchor distT="0" distB="0" distL="114300" distR="114300" simplePos="0" relativeHeight="251665408" behindDoc="0" locked="0" layoutInCell="1" allowOverlap="1" wp14:anchorId="6FAF3F76" wp14:editId="219666E6">
                <wp:simplePos x="0" y="0"/>
                <wp:positionH relativeFrom="column">
                  <wp:posOffset>-77638</wp:posOffset>
                </wp:positionH>
                <wp:positionV relativeFrom="paragraph">
                  <wp:posOffset>156857</wp:posOffset>
                </wp:positionV>
                <wp:extent cx="2070340" cy="362309"/>
                <wp:effectExtent l="0" t="0" r="25400" b="19050"/>
                <wp:wrapNone/>
                <wp:docPr id="10" name="Rektangel 10"/>
                <wp:cNvGraphicFramePr/>
                <a:graphic xmlns:a="http://schemas.openxmlformats.org/drawingml/2006/main">
                  <a:graphicData uri="http://schemas.microsoft.com/office/word/2010/wordprocessingShape">
                    <wps:wsp>
                      <wps:cNvSpPr/>
                      <wps:spPr>
                        <a:xfrm>
                          <a:off x="0" y="0"/>
                          <a:ext cx="2070340" cy="362309"/>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AEB89F" id="Rektangel 10" o:spid="_x0000_s1026" style="position:absolute;margin-left:-6.1pt;margin-top:12.35pt;width:163pt;height:28.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" filled="f" strokecolor="#1f3763 [1604]" strokeweight="1pt"/>
            </w:pict>
          </mc:Fallback>
        </mc:AlternateContent>
      </w:r>
    </w:p>
    <w:p w14:paraId="23D1C2D9" w14:textId="2DC457AE" w:rsidR="0089121C" w:rsidRPr="00B41C29" w:rsidRDefault="0089121C" w:rsidP="0089121C">
      <w:pPr>
        <w:rPr>
          <w:rFonts w:cstheme="minorHAnsi"/>
          <w:b/>
          <w:bCs/>
          <w:i/>
          <w:iCs/>
        </w:rPr>
      </w:pPr>
      <w:r w:rsidRPr="00B41C29">
        <w:rPr>
          <w:rFonts w:cstheme="minorHAnsi"/>
          <w:b/>
          <w:bCs/>
          <w:i/>
          <w:iCs/>
        </w:rPr>
        <w:t>3.2.2 Kommissionens vägledning</w:t>
      </w:r>
    </w:p>
    <w:p w14:paraId="60647D69" w14:textId="1C43E268" w:rsidR="0071736E" w:rsidRPr="00B41C29" w:rsidRDefault="0071736E" w:rsidP="0089121C">
      <w:pPr>
        <w:rPr>
          <w:rFonts w:cstheme="minorHAnsi"/>
        </w:rPr>
      </w:pPr>
      <w:r w:rsidRPr="00B41C29">
        <w:rPr>
          <w:rFonts w:cstheme="minorHAnsi"/>
          <w:u w:val="single"/>
        </w:rPr>
        <w:t xml:space="preserve">EU-kommissionens vägledning </w:t>
      </w:r>
      <w:r w:rsidRPr="00B41C29">
        <w:rPr>
          <w:rFonts w:cstheme="minorHAnsi"/>
        </w:rPr>
        <w:t xml:space="preserve">”Vägledning om strikt skydd för djurarter av gemenskapsintresse enligt habitatdirektivet, Bryssel den 12.10.2021, </w:t>
      </w:r>
      <w:proofErr w:type="gramStart"/>
      <w:r w:rsidRPr="00B41C29">
        <w:rPr>
          <w:rFonts w:cstheme="minorHAnsi"/>
        </w:rPr>
        <w:t>C(</w:t>
      </w:r>
      <w:proofErr w:type="gramEnd"/>
      <w:r w:rsidRPr="00B41C29">
        <w:rPr>
          <w:rFonts w:cstheme="minorHAnsi"/>
        </w:rPr>
        <w:t>2021) 7301, om strikt skydd för djurarter av gemenskapsintresse inom ramen för livsmiljödirektiven”</w:t>
      </w:r>
      <w:r w:rsidRPr="00B41C29">
        <w:rPr>
          <w:rStyle w:val="Fotnotsreferens"/>
          <w:rFonts w:cstheme="minorHAnsi"/>
        </w:rPr>
        <w:footnoteReference w:id="3"/>
      </w:r>
      <w:r w:rsidRPr="00B41C29">
        <w:rPr>
          <w:rFonts w:cstheme="minorHAnsi"/>
        </w:rPr>
        <w:t xml:space="preserve">  är inriktat på de </w:t>
      </w:r>
      <w:r w:rsidRPr="00B41C29">
        <w:rPr>
          <w:rFonts w:cstheme="minorHAnsi"/>
          <w:u w:val="single"/>
        </w:rPr>
        <w:t>skyldigheter som uppkommer genom artiklarna 12 och 16 i habitatdirektivet.</w:t>
      </w:r>
      <w:r w:rsidRPr="00B41C29">
        <w:rPr>
          <w:rFonts w:cstheme="minorHAnsi"/>
        </w:rPr>
        <w:t xml:space="preserve"> Där fastställs ett strikt skyddssystem för de djurarter som finns förtecknade i bilaga 4 a till direktivet, samtidigt som det tillåts undantag från dessa bestämmelser enligt fastställda villkor. Dokumentet bygger huvudsakligen på relevanta domar från EU-domstolen och exempel på artskyddssystem som finns i olika medlemsstater. Dokumentet är riktat till nationella, regionala och lokala myndigheter, bevarandeorgan och andra organisationer som är ansvariga för eller involverade i att genomföra habitatdirektivet, samt till berörda parter. Syftet är att hjälpa dem att utarbeta ändamålsenliga och pragmatiska sätt att tillämpa bestämmelserna, samtidigt som den rättsliga ramen respekteras fullt ut. Samråd om olika utkast till </w:t>
      </w:r>
      <w:r w:rsidRPr="00B41C29">
        <w:rPr>
          <w:rFonts w:cstheme="minorHAnsi"/>
        </w:rPr>
        <w:lastRenderedPageBreak/>
        <w:t>dokumentet har hållits med medlemsstaterna och viktiga berörda parter, och deras kommentarer har tagits i beaktande.</w:t>
      </w:r>
    </w:p>
    <w:p w14:paraId="11FA3221" w14:textId="7F2AA51D" w:rsidR="0071736E" w:rsidRPr="00B41C29" w:rsidRDefault="0071736E" w:rsidP="0089121C">
      <w:pPr>
        <w:rPr>
          <w:rFonts w:cstheme="minorHAnsi"/>
        </w:rPr>
      </w:pPr>
      <w:r w:rsidRPr="00B41C29">
        <w:rPr>
          <w:rFonts w:cstheme="minorHAnsi"/>
        </w:rPr>
        <w:t xml:space="preserve">Vägledningen, som kommer att uppdateras ytterligare med jämna mellanrum, bör läsas som doktrin mot bakgrund av rättspraxis som framkommer i ämnet vid EU-domstolen. Vägledningen innehåller kommissionens uppfattning om de relevanta bestämmelserna i direktivet, men guiden är inte i sig lagstiftande; här sätts inga nya regler utan </w:t>
      </w:r>
      <w:r w:rsidRPr="00B41C29">
        <w:rPr>
          <w:rFonts w:cstheme="minorHAnsi"/>
          <w:u w:val="single"/>
        </w:rPr>
        <w:t>det ges bara vägledning kring tillämpningen av dem som redan finns.</w:t>
      </w:r>
    </w:p>
    <w:p w14:paraId="2C5DE402" w14:textId="5FD9E0C2" w:rsidR="0089121C" w:rsidRPr="00B41C29" w:rsidRDefault="0089121C" w:rsidP="002B6C92">
      <w:pPr>
        <w:rPr>
          <w:rFonts w:cstheme="minorHAnsi"/>
        </w:rPr>
      </w:pPr>
      <w:r w:rsidRPr="00B41C29">
        <w:rPr>
          <w:rFonts w:cstheme="minorHAnsi"/>
          <w:i/>
          <w:iCs/>
          <w:noProof/>
        </w:rPr>
        <mc:AlternateContent>
          <mc:Choice Requires="wps">
            <w:drawing>
              <wp:anchor distT="0" distB="0" distL="114300" distR="114300" simplePos="0" relativeHeight="251662336" behindDoc="0" locked="0" layoutInCell="1" allowOverlap="1" wp14:anchorId="7F13F2D9" wp14:editId="44906B7C">
                <wp:simplePos x="0" y="0"/>
                <wp:positionH relativeFrom="margin">
                  <wp:align>right</wp:align>
                </wp:positionH>
                <wp:positionV relativeFrom="paragraph">
                  <wp:posOffset>187613</wp:posOffset>
                </wp:positionV>
                <wp:extent cx="5735955" cy="1474530"/>
                <wp:effectExtent l="0" t="0" r="17145" b="11430"/>
                <wp:wrapNone/>
                <wp:docPr id="7" name="Rektangel 7"/>
                <wp:cNvGraphicFramePr/>
                <a:graphic xmlns:a="http://schemas.openxmlformats.org/drawingml/2006/main">
                  <a:graphicData uri="http://schemas.microsoft.com/office/word/2010/wordprocessingShape">
                    <wps:wsp>
                      <wps:cNvSpPr/>
                      <wps:spPr>
                        <a:xfrm>
                          <a:off x="0" y="0"/>
                          <a:ext cx="5735955" cy="147453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9D6CCE" id="Rektangel 7" o:spid="_x0000_s1026" style="position:absolute;margin-left:400.45pt;margin-top:14.75pt;width:451.65pt;height:116.1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" filled="f" strokecolor="#1f3763 [1604]" strokeweight="1pt">
                <w10:wrap anchorx="margin"/>
              </v:rect>
            </w:pict>
          </mc:Fallback>
        </mc:AlternateContent>
      </w:r>
    </w:p>
    <w:p w14:paraId="1DB673AB" w14:textId="16C202B6" w:rsidR="002B6C92" w:rsidRPr="00B41C29" w:rsidRDefault="00335A87" w:rsidP="002B6C92">
      <w:pPr>
        <w:rPr>
          <w:rFonts w:cstheme="minorHAnsi"/>
          <w:i/>
          <w:iCs/>
        </w:rPr>
      </w:pPr>
      <w:r w:rsidRPr="00B41C29">
        <w:rPr>
          <w:rFonts w:cstheme="minorHAnsi"/>
          <w:i/>
          <w:iCs/>
        </w:rPr>
        <w:t>”</w:t>
      </w:r>
      <w:r w:rsidR="002B6C92" w:rsidRPr="00B41C29">
        <w:rPr>
          <w:rFonts w:cstheme="minorHAnsi"/>
          <w:i/>
          <w:iCs/>
        </w:rPr>
        <w:t xml:space="preserve">Utöver den är kommissionens vägledningar till direktiven </w:t>
      </w:r>
      <w:r w:rsidR="002B6C92" w:rsidRPr="00B41C29">
        <w:rPr>
          <w:rFonts w:cstheme="minorHAnsi"/>
          <w:i/>
          <w:iCs/>
          <w:u w:val="single"/>
        </w:rPr>
        <w:t>av stort värde</w:t>
      </w:r>
      <w:r w:rsidR="002B6C92" w:rsidRPr="00B41C29">
        <w:rPr>
          <w:rFonts w:cstheme="minorHAnsi"/>
          <w:i/>
          <w:iCs/>
        </w:rPr>
        <w:t>.” (s.8)</w:t>
      </w:r>
    </w:p>
    <w:p w14:paraId="60030EED" w14:textId="701348C4" w:rsidR="00335A87" w:rsidRPr="00B41C29" w:rsidRDefault="008860D7" w:rsidP="002B6C92">
      <w:pPr>
        <w:rPr>
          <w:rFonts w:cstheme="minorHAnsi"/>
        </w:rPr>
      </w:pPr>
      <w:r w:rsidRPr="00B41C29">
        <w:rPr>
          <w:rFonts w:cstheme="minorHAnsi"/>
        </w:rPr>
        <w:t>ska vara</w:t>
      </w:r>
    </w:p>
    <w:p w14:paraId="280DAF35" w14:textId="64EA9A9C" w:rsidR="00F31FBB" w:rsidRPr="00B41C29" w:rsidRDefault="00F31FBB" w:rsidP="002B6C92">
      <w:pPr>
        <w:rPr>
          <w:rFonts w:cstheme="minorHAnsi"/>
          <w:i/>
          <w:iCs/>
        </w:rPr>
      </w:pPr>
      <w:r w:rsidRPr="00B41C29">
        <w:rPr>
          <w:rFonts w:cstheme="minorHAnsi"/>
          <w:i/>
          <w:iCs/>
        </w:rPr>
        <w:t>”EU-kommissionens vägledningar</w:t>
      </w:r>
      <w:r w:rsidR="00A75C44" w:rsidRPr="00B41C29">
        <w:rPr>
          <w:rStyle w:val="Fotnotsreferens"/>
          <w:rFonts w:cstheme="minorHAnsi"/>
          <w:i/>
          <w:iCs/>
        </w:rPr>
        <w:footnoteReference w:id="4"/>
      </w:r>
      <w:r w:rsidR="00A75C44" w:rsidRPr="00B41C29">
        <w:rPr>
          <w:rFonts w:cstheme="minorHAnsi"/>
          <w:i/>
          <w:iCs/>
        </w:rPr>
        <w:t xml:space="preserve"> för tolkning av miljödirektiven</w:t>
      </w:r>
      <w:r w:rsidRPr="00B41C29">
        <w:rPr>
          <w:rFonts w:cstheme="minorHAnsi"/>
          <w:i/>
          <w:iCs/>
        </w:rPr>
        <w:t xml:space="preserve"> </w:t>
      </w:r>
      <w:r w:rsidRPr="00B41C29">
        <w:rPr>
          <w:rFonts w:cstheme="minorHAnsi"/>
          <w:b/>
          <w:bCs/>
          <w:i/>
          <w:iCs/>
          <w:u w:val="single"/>
        </w:rPr>
        <w:t xml:space="preserve">ingår i </w:t>
      </w:r>
      <w:r w:rsidR="00A75C44" w:rsidRPr="00B41C29">
        <w:rPr>
          <w:rFonts w:cstheme="minorHAnsi"/>
          <w:b/>
          <w:bCs/>
          <w:i/>
          <w:iCs/>
          <w:u w:val="single"/>
        </w:rPr>
        <w:t xml:space="preserve">den EU-rättsliga </w:t>
      </w:r>
      <w:r w:rsidRPr="00B41C29">
        <w:rPr>
          <w:rFonts w:cstheme="minorHAnsi"/>
          <w:b/>
          <w:bCs/>
          <w:i/>
          <w:iCs/>
          <w:u w:val="single"/>
        </w:rPr>
        <w:t>doktrinen</w:t>
      </w:r>
      <w:r w:rsidRPr="00B41C29">
        <w:rPr>
          <w:rFonts w:cstheme="minorHAnsi"/>
          <w:i/>
          <w:iCs/>
        </w:rPr>
        <w:t xml:space="preserve"> angående habitatdirektivet och utgör enligt EU-domstolen </w:t>
      </w:r>
      <w:r w:rsidR="00A75C44" w:rsidRPr="00B41C29">
        <w:rPr>
          <w:rFonts w:cstheme="minorHAnsi"/>
          <w:i/>
          <w:iCs/>
        </w:rPr>
        <w:t>samt</w:t>
      </w:r>
      <w:r w:rsidRPr="00B41C29">
        <w:rPr>
          <w:rFonts w:cstheme="minorHAnsi"/>
          <w:i/>
          <w:iCs/>
        </w:rPr>
        <w:t xml:space="preserve"> enligt Miljööverdomstolen en rättskälla, och </w:t>
      </w:r>
      <w:r w:rsidRPr="00B41C29">
        <w:rPr>
          <w:rFonts w:cstheme="minorHAnsi"/>
          <w:b/>
          <w:bCs/>
          <w:i/>
          <w:iCs/>
          <w:u w:val="single"/>
        </w:rPr>
        <w:t>ska därmed beaktas</w:t>
      </w:r>
      <w:r w:rsidRPr="00B41C29">
        <w:rPr>
          <w:rFonts w:cstheme="minorHAnsi"/>
          <w:i/>
          <w:iCs/>
        </w:rPr>
        <w:t xml:space="preserve"> </w:t>
      </w:r>
      <w:r w:rsidR="00A75C44" w:rsidRPr="00B41C29">
        <w:rPr>
          <w:rFonts w:cstheme="minorHAnsi"/>
          <w:i/>
          <w:iCs/>
        </w:rPr>
        <w:t>av myndigheter och domstolar vid prövning av Art- och habitatdirektivet och dess tillämpning nationellt.</w:t>
      </w:r>
    </w:p>
    <w:p w14:paraId="238424B4" w14:textId="77777777" w:rsidR="0071736E" w:rsidRPr="00B41C29" w:rsidRDefault="0071736E" w:rsidP="0089121C">
      <w:pPr>
        <w:rPr>
          <w:rFonts w:cstheme="minorHAnsi"/>
          <w:u w:val="single"/>
        </w:rPr>
      </w:pPr>
    </w:p>
    <w:p w14:paraId="2B9E4329" w14:textId="7521ED76" w:rsidR="0089121C" w:rsidRPr="00B41C29" w:rsidRDefault="0089121C" w:rsidP="0089121C">
      <w:pPr>
        <w:rPr>
          <w:rFonts w:cstheme="minorHAnsi"/>
        </w:rPr>
      </w:pPr>
      <w:r w:rsidRPr="00B41C29">
        <w:rPr>
          <w:rFonts w:cstheme="minorHAnsi"/>
        </w:rPr>
        <w:t xml:space="preserve">Den senaste versionen är resultatet av översynsprocess av EU:s naturvårdsdirektiv (2014–2016) ”En handlingsplan för naturen, människorna och näringslivet” för att främja ett bättre, smartare och mer kostnadseffektivt genomförande av miljödirektiven. Vägledningen tar hänsyn till den praktiska erfarenhet som anskaffats allt eftersom habitatdirektivets bestämmelser om skydd av arter har genomförts, under de år som gått sedan den första versionen av vägledningen kom ut. Därmed baseras den på den tidigare versionen av riktlinjer </w:t>
      </w:r>
      <w:r w:rsidR="00247106" w:rsidRPr="00B41C29">
        <w:rPr>
          <w:rFonts w:cstheme="minorHAnsi"/>
        </w:rPr>
        <w:t>samt på de bindande</w:t>
      </w:r>
      <w:r w:rsidRPr="00B41C29">
        <w:rPr>
          <w:rFonts w:cstheme="minorHAnsi"/>
        </w:rPr>
        <w:t xml:space="preserve"> EU-domar som hänvisar till de tidigare versionerna.</w:t>
      </w:r>
    </w:p>
    <w:p w14:paraId="7183513C" w14:textId="58B178F5" w:rsidR="0089121C" w:rsidRPr="00B41C29" w:rsidRDefault="0089121C" w:rsidP="0089121C">
      <w:pPr>
        <w:rPr>
          <w:rFonts w:cstheme="minorHAnsi"/>
        </w:rPr>
      </w:pPr>
      <w:r w:rsidRPr="00B41C29">
        <w:rPr>
          <w:rFonts w:cstheme="minorHAnsi"/>
        </w:rPr>
        <w:t xml:space="preserve">Den svenska Mark- och miljööverdomstolen hänvisar också till kommissionens vägledning som rättskälla. I dom MÖD 2015:3 har begreppet ”avsiktligt” från </w:t>
      </w:r>
      <w:r w:rsidR="00247106" w:rsidRPr="00B41C29">
        <w:rPr>
          <w:rFonts w:cstheme="minorHAnsi"/>
        </w:rPr>
        <w:t>a</w:t>
      </w:r>
      <w:r w:rsidRPr="00B41C29">
        <w:rPr>
          <w:rFonts w:cstheme="minorHAnsi"/>
        </w:rPr>
        <w:t>rt- och habitatdirektivet tolkats utifrån EU-kommissionens vägledning:</w:t>
      </w:r>
    </w:p>
    <w:p w14:paraId="55D066BA" w14:textId="77777777" w:rsidR="0089121C" w:rsidRPr="00B41C29" w:rsidRDefault="0089121C" w:rsidP="0089121C">
      <w:pPr>
        <w:rPr>
          <w:rFonts w:cstheme="minorHAnsi"/>
          <w:i/>
          <w:iCs/>
          <w:color w:val="333333"/>
          <w:shd w:val="clear" w:color="auto" w:fill="FFFFFF"/>
        </w:rPr>
      </w:pPr>
      <w:r w:rsidRPr="00B41C29">
        <w:rPr>
          <w:rFonts w:cstheme="minorHAnsi"/>
          <w:i/>
          <w:iCs/>
        </w:rPr>
        <w:t>”</w:t>
      </w:r>
      <w:r w:rsidRPr="00B41C29">
        <w:rPr>
          <w:rFonts w:cstheme="minorHAnsi"/>
          <w:i/>
          <w:iCs/>
          <w:color w:val="333333"/>
          <w:shd w:val="clear" w:color="auto" w:fill="FFFFFF"/>
        </w:rPr>
        <w:t xml:space="preserve"> Det som EU-domstolen och kommissionen har anfört när det gäller innebörden av begreppet ”avsiktligt” i art- och habitatdirektivet får anses gälla även i förhållande till begreppets betydelse i fågeldirektivet”</w:t>
      </w:r>
    </w:p>
    <w:p w14:paraId="3701D832" w14:textId="02ECA036" w:rsidR="0089121C" w:rsidRPr="00B41C29" w:rsidRDefault="0089121C" w:rsidP="0089121C">
      <w:pPr>
        <w:rPr>
          <w:rFonts w:cstheme="minorHAnsi"/>
          <w:color w:val="333333"/>
          <w:shd w:val="clear" w:color="auto" w:fill="FFFFFF"/>
        </w:rPr>
      </w:pPr>
      <w:r w:rsidRPr="00B41C29">
        <w:rPr>
          <w:rFonts w:cstheme="minorHAnsi"/>
          <w:color w:val="333333"/>
          <w:shd w:val="clear" w:color="auto" w:fill="FFFFFF"/>
        </w:rPr>
        <w:t xml:space="preserve">I och med fågeldirektivet och </w:t>
      </w:r>
      <w:r w:rsidR="00247106" w:rsidRPr="00B41C29">
        <w:rPr>
          <w:rFonts w:cstheme="minorHAnsi"/>
          <w:color w:val="333333"/>
          <w:shd w:val="clear" w:color="auto" w:fill="FFFFFF"/>
        </w:rPr>
        <w:t>a</w:t>
      </w:r>
      <w:r w:rsidRPr="00B41C29">
        <w:rPr>
          <w:rFonts w:cstheme="minorHAnsi"/>
          <w:color w:val="333333"/>
          <w:shd w:val="clear" w:color="auto" w:fill="FFFFFF"/>
        </w:rPr>
        <w:t xml:space="preserve">rt- och habitatdirektivet tolkas analogt och parallellt (som ”miljöskyddsdirektiven”) gäller tolkningen även för </w:t>
      </w:r>
      <w:r w:rsidR="00247106" w:rsidRPr="00B41C29">
        <w:rPr>
          <w:rFonts w:cstheme="minorHAnsi"/>
          <w:color w:val="333333"/>
          <w:shd w:val="clear" w:color="auto" w:fill="FFFFFF"/>
        </w:rPr>
        <w:t>a</w:t>
      </w:r>
      <w:r w:rsidRPr="00B41C29">
        <w:rPr>
          <w:rFonts w:cstheme="minorHAnsi"/>
          <w:color w:val="333333"/>
          <w:shd w:val="clear" w:color="auto" w:fill="FFFFFF"/>
        </w:rPr>
        <w:t>rt- och habitatdirektivet.</w:t>
      </w:r>
    </w:p>
    <w:p w14:paraId="5CCFBBD9" w14:textId="77777777" w:rsidR="0089121C" w:rsidRPr="00B41C29" w:rsidRDefault="0089121C" w:rsidP="0089121C">
      <w:pPr>
        <w:rPr>
          <w:rFonts w:cstheme="minorHAnsi"/>
          <w:color w:val="333333"/>
          <w:shd w:val="clear" w:color="auto" w:fill="FFFFFF"/>
        </w:rPr>
      </w:pPr>
      <w:r w:rsidRPr="00B41C29">
        <w:rPr>
          <w:rFonts w:cstheme="minorHAnsi"/>
          <w:color w:val="333333"/>
          <w:shd w:val="clear" w:color="auto" w:fill="FFFFFF"/>
        </w:rPr>
        <w:t>Även i dom MÖD 2014:48 hänvisar Naturvårdsverket själv till EU-kommissionens vägledning som rättskälla:</w:t>
      </w:r>
    </w:p>
    <w:p w14:paraId="28664AD3" w14:textId="77777777" w:rsidR="0089121C" w:rsidRPr="00B41C29" w:rsidRDefault="0089121C" w:rsidP="0089121C">
      <w:pPr>
        <w:pStyle w:val="Normalwebb"/>
        <w:shd w:val="clear" w:color="auto" w:fill="FFFFFF"/>
        <w:spacing w:before="0" w:beforeAutospacing="0" w:after="150" w:afterAutospacing="0"/>
        <w:rPr>
          <w:rFonts w:asciiTheme="minorHAnsi" w:hAnsiTheme="minorHAnsi" w:cstheme="minorHAnsi"/>
          <w:color w:val="333333"/>
          <w:sz w:val="22"/>
          <w:szCs w:val="22"/>
        </w:rPr>
      </w:pPr>
      <w:r w:rsidRPr="00B41C29">
        <w:rPr>
          <w:rFonts w:asciiTheme="minorHAnsi" w:hAnsiTheme="minorHAnsi" w:cstheme="minorHAnsi"/>
          <w:i/>
          <w:iCs/>
          <w:color w:val="333333"/>
          <w:sz w:val="22"/>
          <w:szCs w:val="22"/>
        </w:rPr>
        <w:t>”Uppförande av vindkraftverk med kännedom om att de med viss sannolikhet kommer att döda eller störa fåglar måste därmed anses utgöra ett avsiktligt dödande eller störande i den mening som avses i </w:t>
      </w:r>
      <w:hyperlink r:id="rId8" w:anchor="P4" w:history="1">
        <w:r w:rsidRPr="00B41C29">
          <w:rPr>
            <w:rStyle w:val="Hyperlnk"/>
            <w:rFonts w:asciiTheme="minorHAnsi" w:hAnsiTheme="minorHAnsi" w:cstheme="minorHAnsi"/>
            <w:i/>
            <w:iCs/>
            <w:color w:val="337AB7"/>
            <w:sz w:val="22"/>
            <w:szCs w:val="22"/>
          </w:rPr>
          <w:t>4 § artskyddsförordningen</w:t>
        </w:r>
      </w:hyperlink>
      <w:r w:rsidRPr="00B41C29">
        <w:rPr>
          <w:rFonts w:asciiTheme="minorHAnsi" w:hAnsiTheme="minorHAnsi" w:cstheme="minorHAnsi"/>
          <w:i/>
          <w:iCs/>
          <w:color w:val="333333"/>
          <w:sz w:val="22"/>
          <w:szCs w:val="22"/>
        </w:rPr>
        <w:t> (se </w:t>
      </w:r>
      <w:hyperlink r:id="rId9" w:history="1">
        <w:r w:rsidRPr="00B41C29">
          <w:rPr>
            <w:rStyle w:val="Hyperlnk"/>
            <w:rFonts w:asciiTheme="minorHAnsi" w:hAnsiTheme="minorHAnsi" w:cstheme="minorHAnsi"/>
            <w:i/>
            <w:iCs/>
            <w:color w:val="337AB7"/>
            <w:sz w:val="22"/>
            <w:szCs w:val="22"/>
          </w:rPr>
          <w:t>MÖD 2013:13</w:t>
        </w:r>
      </w:hyperlink>
      <w:r w:rsidRPr="00B41C29">
        <w:rPr>
          <w:rFonts w:asciiTheme="minorHAnsi" w:hAnsiTheme="minorHAnsi" w:cstheme="minorHAnsi"/>
          <w:i/>
          <w:iCs/>
          <w:color w:val="333333"/>
          <w:sz w:val="22"/>
          <w:szCs w:val="22"/>
        </w:rPr>
        <w:t xml:space="preserve"> och EU-kommissionens vägledningsdokument om strikt skydd för djurarter av intresse för gemenskapen i enlighet med rådets direktiv 92/43/EEG om bevarande av livsmiljöer, 2007, s. 35).” </w:t>
      </w:r>
    </w:p>
    <w:p w14:paraId="5CFC9B21" w14:textId="3B676A32" w:rsidR="00273B33" w:rsidRPr="00B41C29" w:rsidRDefault="00273B33" w:rsidP="0089121C">
      <w:pPr>
        <w:rPr>
          <w:rFonts w:cstheme="minorHAnsi"/>
        </w:rPr>
      </w:pPr>
      <w:r w:rsidRPr="00B41C29">
        <w:rPr>
          <w:rFonts w:cstheme="minorHAnsi"/>
        </w:rPr>
        <w:lastRenderedPageBreak/>
        <w:t xml:space="preserve">Denna tolkning kan härledas även från </w:t>
      </w:r>
      <w:r w:rsidRPr="00B41C29">
        <w:rPr>
          <w:rFonts w:cstheme="minorHAnsi"/>
          <w:u w:val="single"/>
        </w:rPr>
        <w:t>försiktighetsprincipen</w:t>
      </w:r>
      <w:r w:rsidRPr="00B41C29">
        <w:rPr>
          <w:rFonts w:cstheme="minorHAnsi"/>
        </w:rPr>
        <w:t xml:space="preserve">, så som den fastställs i artikel 191 i fördraget om Europeiska unionens funktionssätt (EUF-fördraget), vilket syftar till att säkerställa miljöskydd på en högre nivå genom </w:t>
      </w:r>
      <w:r w:rsidRPr="00B41C29">
        <w:rPr>
          <w:rFonts w:cstheme="minorHAnsi"/>
          <w:u w:val="single"/>
        </w:rPr>
        <w:t>förebyggande beslutsfattande i riskartade fall</w:t>
      </w:r>
      <w:r w:rsidRPr="00B41C29">
        <w:rPr>
          <w:rFonts w:cstheme="minorHAnsi"/>
        </w:rPr>
        <w:t xml:space="preserve">. I riktlinjer som riktar sig till beslutsfattare är det nödvändigt att lyfta denna EU-rättsliga princip. </w:t>
      </w:r>
    </w:p>
    <w:p w14:paraId="77515611" w14:textId="00D3EB75" w:rsidR="0089121C" w:rsidRPr="00B41C29" w:rsidRDefault="0089121C" w:rsidP="0089121C">
      <w:pPr>
        <w:rPr>
          <w:rFonts w:cstheme="minorHAnsi"/>
        </w:rPr>
      </w:pPr>
      <w:r w:rsidRPr="00B41C29">
        <w:rPr>
          <w:rFonts w:cstheme="minorHAnsi"/>
        </w:rPr>
        <w:t xml:space="preserve">Vidare det är </w:t>
      </w:r>
      <w:r w:rsidRPr="00B41C29">
        <w:rPr>
          <w:rFonts w:cstheme="minorHAnsi"/>
          <w:u w:val="single"/>
        </w:rPr>
        <w:t>EU-kommissionen som enligt 258 FEUF startar förfarandena</w:t>
      </w:r>
      <w:r w:rsidR="00247106" w:rsidRPr="00B41C29">
        <w:rPr>
          <w:rFonts w:cstheme="minorHAnsi"/>
          <w:u w:val="single"/>
        </w:rPr>
        <w:t xml:space="preserve"> </w:t>
      </w:r>
      <w:r w:rsidRPr="00B41C29">
        <w:rPr>
          <w:rFonts w:cstheme="minorHAnsi"/>
          <w:u w:val="single"/>
        </w:rPr>
        <w:t>mot medlemsländer</w:t>
      </w:r>
      <w:r w:rsidR="00247106" w:rsidRPr="00B41C29">
        <w:rPr>
          <w:rFonts w:cstheme="minorHAnsi"/>
        </w:rPr>
        <w:t xml:space="preserve"> angående brott mot fördragen</w:t>
      </w:r>
      <w:r w:rsidRPr="00B41C29">
        <w:rPr>
          <w:rFonts w:cstheme="minorHAnsi"/>
        </w:rPr>
        <w:t xml:space="preserve"> och som kan leda till fördragsbrottstalan i EU-domstolen.</w:t>
      </w:r>
      <w:r w:rsidRPr="00B41C29">
        <w:rPr>
          <w:rStyle w:val="Fotnotsreferens"/>
          <w:rFonts w:cstheme="minorHAnsi"/>
        </w:rPr>
        <w:footnoteReference w:id="5"/>
      </w:r>
      <w:r w:rsidRPr="00B41C29">
        <w:rPr>
          <w:rFonts w:cstheme="minorHAnsi"/>
        </w:rPr>
        <w:t xml:space="preserve"> Därmed väger EU-kommissionens tolkning, huruvida medlemsstaten följer den gängse doktrinen, tungt.</w:t>
      </w:r>
    </w:p>
    <w:p w14:paraId="065FCD14" w14:textId="6BFC095B" w:rsidR="0089121C" w:rsidRPr="00B41C29" w:rsidRDefault="0089121C" w:rsidP="0089121C">
      <w:pPr>
        <w:rPr>
          <w:rFonts w:cstheme="minorHAnsi"/>
        </w:rPr>
      </w:pPr>
      <w:r w:rsidRPr="00B41C29">
        <w:rPr>
          <w:rFonts w:cstheme="minorHAnsi"/>
        </w:rPr>
        <w:t xml:space="preserve">Vid tolkning av habitatdirektivet lutar sig Naturvårdsverkets vägledning mot den civila organisationen </w:t>
      </w:r>
      <w:proofErr w:type="spellStart"/>
      <w:r w:rsidRPr="00B41C29">
        <w:rPr>
          <w:rFonts w:cstheme="minorHAnsi"/>
        </w:rPr>
        <w:t>Large</w:t>
      </w:r>
      <w:proofErr w:type="spellEnd"/>
      <w:r w:rsidRPr="00B41C29">
        <w:rPr>
          <w:rFonts w:cstheme="minorHAnsi"/>
        </w:rPr>
        <w:t xml:space="preserve"> </w:t>
      </w:r>
      <w:proofErr w:type="spellStart"/>
      <w:r w:rsidRPr="00B41C29">
        <w:rPr>
          <w:rFonts w:cstheme="minorHAnsi"/>
        </w:rPr>
        <w:t>Carnivore</w:t>
      </w:r>
      <w:proofErr w:type="spellEnd"/>
      <w:r w:rsidRPr="00B41C29">
        <w:rPr>
          <w:rFonts w:cstheme="minorHAnsi"/>
        </w:rPr>
        <w:t xml:space="preserve"> </w:t>
      </w:r>
      <w:proofErr w:type="spellStart"/>
      <w:r w:rsidRPr="00B41C29">
        <w:rPr>
          <w:rFonts w:cstheme="minorHAnsi"/>
        </w:rPr>
        <w:t>Initiative</w:t>
      </w:r>
      <w:proofErr w:type="spellEnd"/>
      <w:r w:rsidRPr="00B41C29">
        <w:rPr>
          <w:rFonts w:cstheme="minorHAnsi"/>
        </w:rPr>
        <w:t xml:space="preserve"> for </w:t>
      </w:r>
      <w:proofErr w:type="gramStart"/>
      <w:r w:rsidRPr="00B41C29">
        <w:rPr>
          <w:rFonts w:cstheme="minorHAnsi"/>
        </w:rPr>
        <w:t>Europé</w:t>
      </w:r>
      <w:proofErr w:type="gramEnd"/>
      <w:r w:rsidRPr="00B41C29">
        <w:rPr>
          <w:rFonts w:cstheme="minorHAnsi"/>
        </w:rPr>
        <w:t>, LCIE. Faktum är att en del framstående biologer har kritiserat organisationen för partiskhet för jaktintressen.</w:t>
      </w:r>
      <w:r w:rsidRPr="00B41C29">
        <w:rPr>
          <w:rStyle w:val="Fotnotsreferens"/>
          <w:rFonts w:cstheme="minorHAnsi"/>
        </w:rPr>
        <w:footnoteReference w:id="6"/>
      </w:r>
      <w:r w:rsidRPr="00B41C29">
        <w:rPr>
          <w:rFonts w:cstheme="minorHAnsi"/>
        </w:rPr>
        <w:t xml:space="preserve"> </w:t>
      </w:r>
      <w:r w:rsidR="00247106" w:rsidRPr="00B41C29">
        <w:rPr>
          <w:rFonts w:cstheme="minorHAnsi"/>
        </w:rPr>
        <w:t xml:space="preserve"> </w:t>
      </w:r>
      <w:r w:rsidRPr="00B41C29">
        <w:rPr>
          <w:rFonts w:cstheme="minorHAnsi"/>
        </w:rPr>
        <w:t>Det är sant att EU-kommissionen samarbetar med organisationen men den kan aldrig som privat intresseorganisation ses som rättskälla och det har kommissionen inte heller hävdat.</w:t>
      </w:r>
    </w:p>
    <w:p w14:paraId="591D2DD4" w14:textId="22E858D6" w:rsidR="00D923EA" w:rsidRPr="00B41C29" w:rsidRDefault="00247106">
      <w:pPr>
        <w:rPr>
          <w:rFonts w:cstheme="minorHAnsi"/>
          <w:b/>
          <w:bCs/>
        </w:rPr>
      </w:pPr>
      <w:r w:rsidRPr="00B41C29">
        <w:rPr>
          <w:rFonts w:cstheme="minorHAnsi"/>
          <w:b/>
          <w:bCs/>
        </w:rPr>
        <w:t xml:space="preserve">Riktlinjerna måste skärpas så att det klarläggs tydligt att kommissionens senaste riktlinjer ses som </w:t>
      </w:r>
      <w:r w:rsidR="00273B33" w:rsidRPr="00B41C29">
        <w:rPr>
          <w:rFonts w:cstheme="minorHAnsi"/>
          <w:b/>
          <w:bCs/>
        </w:rPr>
        <w:t>vägledande doktrin</w:t>
      </w:r>
      <w:r w:rsidRPr="00B41C29">
        <w:rPr>
          <w:rFonts w:cstheme="minorHAnsi"/>
          <w:b/>
          <w:bCs/>
        </w:rPr>
        <w:t xml:space="preserve">. Vidare är det olämpligt att lyfta en civil organisation bland många som styrande i svensk implementering av art- och habitatdirektivet, när den saknar </w:t>
      </w:r>
      <w:r w:rsidR="00804801" w:rsidRPr="00B41C29">
        <w:rPr>
          <w:rFonts w:cstheme="minorHAnsi"/>
          <w:b/>
          <w:bCs/>
        </w:rPr>
        <w:t>sådant mandat</w:t>
      </w:r>
      <w:r w:rsidRPr="00B41C29">
        <w:rPr>
          <w:rFonts w:cstheme="minorHAnsi"/>
          <w:b/>
          <w:bCs/>
        </w:rPr>
        <w:t xml:space="preserve">, och det finns inget som styrker att organisationen aktivt stödjer myndigheter med att fatta EU-rättsligt riktiga beslut. </w:t>
      </w:r>
    </w:p>
    <w:p w14:paraId="3250F7B1" w14:textId="2D67B431" w:rsidR="00D923EA" w:rsidRPr="00B41C29" w:rsidRDefault="00804801">
      <w:pPr>
        <w:rPr>
          <w:rFonts w:cstheme="minorHAnsi"/>
        </w:rPr>
      </w:pPr>
      <w:r w:rsidRPr="00B41C29">
        <w:rPr>
          <w:rFonts w:cstheme="minorHAnsi"/>
          <w:noProof/>
        </w:rPr>
        <mc:AlternateContent>
          <mc:Choice Requires="wps">
            <w:drawing>
              <wp:anchor distT="0" distB="0" distL="114300" distR="114300" simplePos="0" relativeHeight="251666432" behindDoc="0" locked="0" layoutInCell="1" allowOverlap="1" wp14:anchorId="7E787737" wp14:editId="51633CE5">
                <wp:simplePos x="0" y="0"/>
                <wp:positionH relativeFrom="column">
                  <wp:posOffset>-129396</wp:posOffset>
                </wp:positionH>
                <wp:positionV relativeFrom="paragraph">
                  <wp:posOffset>169485</wp:posOffset>
                </wp:positionV>
                <wp:extent cx="2631056" cy="345057"/>
                <wp:effectExtent l="0" t="0" r="17145" b="17145"/>
                <wp:wrapNone/>
                <wp:docPr id="11" name="Rektangel 11"/>
                <wp:cNvGraphicFramePr/>
                <a:graphic xmlns:a="http://schemas.openxmlformats.org/drawingml/2006/main">
                  <a:graphicData uri="http://schemas.microsoft.com/office/word/2010/wordprocessingShape">
                    <wps:wsp>
                      <wps:cNvSpPr/>
                      <wps:spPr>
                        <a:xfrm>
                          <a:off x="0" y="0"/>
                          <a:ext cx="2631056" cy="34505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5DF9A6" id="Rektangel 11" o:spid="_x0000_s1026" style="position:absolute;margin-left:-10.2pt;margin-top:13.35pt;width:207.15pt;height:27.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" filled="f" strokecolor="#1f3763 [1604]" strokeweight="1pt"/>
            </w:pict>
          </mc:Fallback>
        </mc:AlternateContent>
      </w:r>
    </w:p>
    <w:p w14:paraId="6EFFE8A9" w14:textId="2037D277" w:rsidR="00292FE0" w:rsidRPr="00B41C29" w:rsidRDefault="00292FE0">
      <w:pPr>
        <w:rPr>
          <w:rFonts w:cstheme="minorHAnsi"/>
          <w:b/>
          <w:bCs/>
          <w:i/>
          <w:iCs/>
        </w:rPr>
      </w:pPr>
      <w:r w:rsidRPr="00B41C29">
        <w:rPr>
          <w:rFonts w:cstheme="minorHAnsi"/>
          <w:b/>
          <w:bCs/>
          <w:i/>
          <w:iCs/>
        </w:rPr>
        <w:t>3.2.1 EU-domstolens praxis</w:t>
      </w:r>
      <w:r w:rsidR="00E63D44" w:rsidRPr="00B41C29">
        <w:rPr>
          <w:rFonts w:cstheme="minorHAnsi"/>
          <w:b/>
          <w:bCs/>
          <w:i/>
          <w:iCs/>
        </w:rPr>
        <w:t>, s.8</w:t>
      </w:r>
    </w:p>
    <w:p w14:paraId="56B3F021" w14:textId="54694009" w:rsidR="00273B33" w:rsidRPr="00B41C29" w:rsidRDefault="00804801" w:rsidP="00273B33">
      <w:pPr>
        <w:pStyle w:val="Normalwebb"/>
        <w:spacing w:before="0" w:beforeAutospacing="0" w:after="240" w:afterAutospacing="0"/>
        <w:rPr>
          <w:rFonts w:asciiTheme="minorHAnsi" w:hAnsiTheme="minorHAnsi" w:cstheme="minorHAnsi"/>
          <w:b/>
          <w:bCs/>
          <w:sz w:val="22"/>
          <w:szCs w:val="22"/>
        </w:rPr>
      </w:pPr>
      <w:r w:rsidRPr="00B41C29">
        <w:rPr>
          <w:rFonts w:asciiTheme="minorHAnsi" w:hAnsiTheme="minorHAnsi" w:cstheme="minorHAnsi"/>
          <w:sz w:val="22"/>
          <w:szCs w:val="22"/>
        </w:rPr>
        <w:t xml:space="preserve">Enligt EU:s rättsliga tolkningsregler är det bara EU-domstolen som har befogenhet att göra en auktoritativ tolkning av EU-rätten och det är den senaste tolkningen av bestämmelserna från </w:t>
      </w:r>
      <w:proofErr w:type="spellStart"/>
      <w:r w:rsidRPr="00B41C29">
        <w:rPr>
          <w:rFonts w:asciiTheme="minorHAnsi" w:hAnsiTheme="minorHAnsi" w:cstheme="minorHAnsi"/>
          <w:sz w:val="22"/>
          <w:szCs w:val="22"/>
        </w:rPr>
        <w:t>case</w:t>
      </w:r>
      <w:proofErr w:type="spellEnd"/>
      <w:r w:rsidRPr="00B41C29">
        <w:rPr>
          <w:rFonts w:asciiTheme="minorHAnsi" w:hAnsiTheme="minorHAnsi" w:cstheme="minorHAnsi"/>
          <w:sz w:val="22"/>
          <w:szCs w:val="22"/>
        </w:rPr>
        <w:t xml:space="preserve"> </w:t>
      </w:r>
      <w:proofErr w:type="spellStart"/>
      <w:r w:rsidRPr="00B41C29">
        <w:rPr>
          <w:rFonts w:asciiTheme="minorHAnsi" w:hAnsiTheme="minorHAnsi" w:cstheme="minorHAnsi"/>
          <w:sz w:val="22"/>
          <w:szCs w:val="22"/>
        </w:rPr>
        <w:t>law</w:t>
      </w:r>
      <w:proofErr w:type="spellEnd"/>
      <w:r w:rsidRPr="00B41C29">
        <w:rPr>
          <w:rFonts w:asciiTheme="minorHAnsi" w:hAnsiTheme="minorHAnsi" w:cstheme="minorHAnsi"/>
          <w:sz w:val="22"/>
          <w:szCs w:val="22"/>
        </w:rPr>
        <w:t xml:space="preserve"> som har </w:t>
      </w:r>
      <w:proofErr w:type="spellStart"/>
      <w:r w:rsidRPr="00B41C29">
        <w:rPr>
          <w:rFonts w:asciiTheme="minorHAnsi" w:hAnsiTheme="minorHAnsi" w:cstheme="minorHAnsi"/>
          <w:sz w:val="22"/>
          <w:szCs w:val="22"/>
        </w:rPr>
        <w:t>lagkraft</w:t>
      </w:r>
      <w:proofErr w:type="spellEnd"/>
      <w:r w:rsidRPr="00B41C29">
        <w:rPr>
          <w:rFonts w:asciiTheme="minorHAnsi" w:hAnsiTheme="minorHAnsi" w:cstheme="minorHAnsi"/>
          <w:sz w:val="22"/>
          <w:szCs w:val="22"/>
        </w:rPr>
        <w:t xml:space="preserve"> i unionsrätten och i alla medlemsländerna. Dessa domar är bindande och gällande rätt även i Sverige, inom alla EU-rättsliga områden såsom inom konkurrens, den gemensamma marknaden, GDPR, och inom miljö.  Beträffande art- och habitatdirektivets artiklar 12 </w:t>
      </w:r>
      <w:r w:rsidR="00BE7B0D" w:rsidRPr="00B41C29">
        <w:rPr>
          <w:rFonts w:asciiTheme="minorHAnsi" w:hAnsiTheme="minorHAnsi" w:cstheme="minorHAnsi"/>
          <w:sz w:val="22"/>
          <w:szCs w:val="22"/>
        </w:rPr>
        <w:t>och</w:t>
      </w:r>
      <w:r w:rsidRPr="00B41C29">
        <w:rPr>
          <w:rFonts w:asciiTheme="minorHAnsi" w:hAnsiTheme="minorHAnsi" w:cstheme="minorHAnsi"/>
          <w:sz w:val="22"/>
          <w:szCs w:val="22"/>
        </w:rPr>
        <w:t xml:space="preserve"> 16 har EU-domstolen utifrån EU:s grundläggande rättsprinciper fastställt rigorösa regler för hur dessa artiklar ska tolkas i förhållande till miljödirektiven. Detta </w:t>
      </w:r>
      <w:r w:rsidR="00240956" w:rsidRPr="00B41C29">
        <w:rPr>
          <w:rFonts w:asciiTheme="minorHAnsi" w:hAnsiTheme="minorHAnsi" w:cstheme="minorHAnsi"/>
          <w:sz w:val="22"/>
          <w:szCs w:val="22"/>
        </w:rPr>
        <w:t>skedde i</w:t>
      </w:r>
      <w:r w:rsidRPr="00B41C29">
        <w:rPr>
          <w:rFonts w:asciiTheme="minorHAnsi" w:hAnsiTheme="minorHAnsi" w:cstheme="minorHAnsi"/>
          <w:sz w:val="22"/>
          <w:szCs w:val="22"/>
        </w:rPr>
        <w:t xml:space="preserve">  det s.k. </w:t>
      </w:r>
      <w:r w:rsidR="00240956" w:rsidRPr="00B41C29">
        <w:rPr>
          <w:rFonts w:asciiTheme="minorHAnsi" w:hAnsiTheme="minorHAnsi" w:cstheme="minorHAnsi"/>
          <w:sz w:val="22"/>
          <w:szCs w:val="22"/>
        </w:rPr>
        <w:t>Tapiolamålet</w:t>
      </w:r>
      <w:r w:rsidRPr="00B41C29">
        <w:rPr>
          <w:rFonts w:asciiTheme="minorHAnsi" w:hAnsiTheme="minorHAnsi" w:cstheme="minorHAnsi"/>
          <w:sz w:val="22"/>
          <w:szCs w:val="22"/>
        </w:rPr>
        <w:t xml:space="preserve"> C-674/17.</w:t>
      </w:r>
      <w:r w:rsidRPr="00B41C29">
        <w:rPr>
          <w:rFonts w:asciiTheme="minorHAnsi" w:hAnsiTheme="minorHAnsi" w:cstheme="minorHAnsi"/>
          <w:sz w:val="22"/>
          <w:szCs w:val="22"/>
        </w:rPr>
        <w:br/>
      </w:r>
      <w:r w:rsidRPr="00B41C29">
        <w:rPr>
          <w:rFonts w:asciiTheme="minorHAnsi" w:hAnsiTheme="minorHAnsi" w:cstheme="minorHAnsi"/>
          <w:sz w:val="22"/>
          <w:szCs w:val="22"/>
        </w:rPr>
        <w:br/>
      </w:r>
      <w:r w:rsidRPr="00B41C29">
        <w:rPr>
          <w:rFonts w:asciiTheme="minorHAnsi" w:hAnsiTheme="minorHAnsi" w:cstheme="minorHAnsi"/>
          <w:b/>
          <w:bCs/>
          <w:sz w:val="22"/>
          <w:szCs w:val="22"/>
        </w:rPr>
        <w:t xml:space="preserve">Det är högst anmärkningsvärt och orimligt att Naturvårdsverket utger riktlinjer för beslutsfattande </w:t>
      </w:r>
      <w:r w:rsidR="00240956" w:rsidRPr="00B41C29">
        <w:rPr>
          <w:rFonts w:asciiTheme="minorHAnsi" w:hAnsiTheme="minorHAnsi" w:cstheme="minorHAnsi"/>
          <w:b/>
          <w:bCs/>
          <w:sz w:val="22"/>
          <w:szCs w:val="22"/>
        </w:rPr>
        <w:t xml:space="preserve">handläggare </w:t>
      </w:r>
      <w:r w:rsidRPr="00B41C29">
        <w:rPr>
          <w:rFonts w:asciiTheme="minorHAnsi" w:hAnsiTheme="minorHAnsi" w:cstheme="minorHAnsi"/>
          <w:b/>
          <w:bCs/>
          <w:sz w:val="22"/>
          <w:szCs w:val="22"/>
        </w:rPr>
        <w:t>inom skyddsjakt</w:t>
      </w:r>
      <w:r w:rsidR="00240956" w:rsidRPr="00B41C29">
        <w:rPr>
          <w:rFonts w:asciiTheme="minorHAnsi" w:hAnsiTheme="minorHAnsi" w:cstheme="minorHAnsi"/>
          <w:b/>
          <w:bCs/>
          <w:sz w:val="22"/>
          <w:szCs w:val="22"/>
        </w:rPr>
        <w:t xml:space="preserve"> av rovdjur, som är enligt EU-rätten en dispens från det strikta förbudet att döda vilda djur enligt artikel 12, utan att ange den i särklass viktigaste </w:t>
      </w:r>
      <w:r w:rsidR="000D3FF9" w:rsidRPr="00B41C29">
        <w:rPr>
          <w:rFonts w:asciiTheme="minorHAnsi" w:hAnsiTheme="minorHAnsi" w:cstheme="minorHAnsi"/>
          <w:b/>
          <w:bCs/>
          <w:sz w:val="22"/>
          <w:szCs w:val="22"/>
        </w:rPr>
        <w:t>prejudikatsmålet</w:t>
      </w:r>
      <w:r w:rsidR="00240956" w:rsidRPr="00B41C29">
        <w:rPr>
          <w:rFonts w:asciiTheme="minorHAnsi" w:hAnsiTheme="minorHAnsi" w:cstheme="minorHAnsi"/>
          <w:b/>
          <w:bCs/>
          <w:sz w:val="22"/>
          <w:szCs w:val="22"/>
        </w:rPr>
        <w:t xml:space="preserve"> från EU-domstolen, Tapiola C-674/17. Därmed kan riktlinjernas vägledning inom EU-praxis godkännas som seriöst arbete för  att upprätthålla unionsrätten.</w:t>
      </w:r>
      <w:r w:rsidR="00273B33" w:rsidRPr="00B41C29">
        <w:rPr>
          <w:rFonts w:asciiTheme="minorHAnsi" w:hAnsiTheme="minorHAnsi" w:cstheme="minorHAnsi"/>
          <w:b/>
          <w:bCs/>
          <w:sz w:val="22"/>
          <w:szCs w:val="22"/>
        </w:rPr>
        <w:t xml:space="preserve"> </w:t>
      </w:r>
    </w:p>
    <w:p w14:paraId="2D5BA2F1" w14:textId="1D4A84A1" w:rsidR="00273B33" w:rsidRPr="00B41C29" w:rsidRDefault="00273B33" w:rsidP="00273B33">
      <w:pPr>
        <w:pStyle w:val="Normalwebb"/>
        <w:spacing w:before="0" w:beforeAutospacing="0" w:after="240" w:afterAutospacing="0"/>
        <w:rPr>
          <w:rFonts w:asciiTheme="minorHAnsi" w:hAnsiTheme="minorHAnsi" w:cstheme="minorHAnsi"/>
          <w:b/>
          <w:bCs/>
          <w:sz w:val="22"/>
          <w:szCs w:val="22"/>
        </w:rPr>
      </w:pPr>
      <w:r w:rsidRPr="00B41C29">
        <w:rPr>
          <w:rFonts w:asciiTheme="minorHAnsi" w:hAnsiTheme="minorHAnsi" w:cstheme="minorHAnsi"/>
          <w:sz w:val="22"/>
          <w:szCs w:val="22"/>
        </w:rPr>
        <w:t xml:space="preserve">Enligt EU:s EU-rättsliga akademi </w:t>
      </w:r>
      <w:r w:rsidRPr="00B41C29">
        <w:rPr>
          <w:rStyle w:val="Fotnotsreferens"/>
          <w:rFonts w:asciiTheme="minorHAnsi" w:hAnsiTheme="minorHAnsi" w:cstheme="minorHAnsi"/>
          <w:sz w:val="22"/>
          <w:szCs w:val="22"/>
        </w:rPr>
        <w:footnoteReference w:id="7"/>
      </w:r>
      <w:r w:rsidRPr="00B41C29">
        <w:rPr>
          <w:rFonts w:asciiTheme="minorHAnsi" w:hAnsiTheme="minorHAnsi" w:cstheme="minorHAnsi"/>
          <w:sz w:val="22"/>
          <w:szCs w:val="22"/>
        </w:rPr>
        <w:t xml:space="preserve"> som studerat Tapiola-målet gäller för artikel 16 i habitatdirektivet följande med stöd av domen:</w:t>
      </w:r>
      <w:r w:rsidRPr="00B41C29">
        <w:rPr>
          <w:rFonts w:asciiTheme="minorHAnsi" w:hAnsiTheme="minorHAnsi" w:cstheme="minorHAnsi"/>
          <w:b/>
          <w:bCs/>
          <w:sz w:val="22"/>
          <w:szCs w:val="22"/>
        </w:rPr>
        <w:t xml:space="preserve"> </w:t>
      </w:r>
    </w:p>
    <w:p w14:paraId="675359BA" w14:textId="4ECEDDEB" w:rsidR="00F5533C" w:rsidRPr="00B41C29" w:rsidRDefault="00273B33" w:rsidP="00273B33">
      <w:pPr>
        <w:pStyle w:val="Normalwebb"/>
        <w:spacing w:before="0" w:beforeAutospacing="0" w:after="240" w:afterAutospacing="0"/>
        <w:rPr>
          <w:rFonts w:asciiTheme="minorHAnsi" w:hAnsiTheme="minorHAnsi" w:cstheme="minorHAnsi"/>
          <w:i/>
          <w:iCs/>
          <w:color w:val="000000"/>
          <w:sz w:val="22"/>
          <w:szCs w:val="22"/>
        </w:rPr>
      </w:pPr>
      <w:r w:rsidRPr="00B41C29">
        <w:rPr>
          <w:rFonts w:asciiTheme="minorHAnsi" w:hAnsiTheme="minorHAnsi" w:cstheme="minorHAnsi"/>
          <w:b/>
          <w:bCs/>
          <w:i/>
          <w:iCs/>
          <w:sz w:val="22"/>
          <w:szCs w:val="22"/>
        </w:rPr>
        <w:lastRenderedPageBreak/>
        <w:t>”</w:t>
      </w:r>
      <w:r w:rsidRPr="00B41C29">
        <w:rPr>
          <w:rFonts w:asciiTheme="minorHAnsi" w:hAnsiTheme="minorHAnsi" w:cstheme="minorHAnsi"/>
          <w:i/>
          <w:iCs/>
          <w:color w:val="000000"/>
          <w:sz w:val="22"/>
          <w:szCs w:val="22"/>
        </w:rPr>
        <w:t xml:space="preserve">För varje undantag som grundar sig på denna bestämmelse måste den behöriga nationella myndigheten följaktligen se till att de villkor som anges där är uppfyllda innan undantaget beviljas och övervaka dess följder. Den nationella lagstiftningen måste säkerställa </w:t>
      </w:r>
      <w:r w:rsidRPr="00B41C29">
        <w:rPr>
          <w:rFonts w:asciiTheme="minorHAnsi" w:hAnsiTheme="minorHAnsi" w:cstheme="minorHAnsi"/>
          <w:i/>
          <w:iCs/>
          <w:color w:val="FF0000"/>
          <w:sz w:val="22"/>
          <w:szCs w:val="22"/>
        </w:rPr>
        <w:t xml:space="preserve">att de beslut som beviljar undantagstillstånd </w:t>
      </w:r>
      <w:r w:rsidRPr="00B41C29">
        <w:rPr>
          <w:rFonts w:asciiTheme="minorHAnsi" w:hAnsiTheme="minorHAnsi" w:cstheme="minorHAnsi"/>
          <w:i/>
          <w:iCs/>
          <w:color w:val="000000"/>
          <w:sz w:val="22"/>
          <w:szCs w:val="22"/>
        </w:rPr>
        <w:t>enligt den bestämmelsen är lagliga och det sätt på vilket dessa beslut genomförs, inklusive när det gäller efterlevnaden av de åtföljande villkoren, särskilt avseende platser, datum, antal och typer av exemplar. riktade, är föremål för effektiv kontroll i tid.”</w:t>
      </w:r>
    </w:p>
    <w:p w14:paraId="71245A82" w14:textId="77777777" w:rsidR="00273B33" w:rsidRPr="00B41C29" w:rsidRDefault="00273B33" w:rsidP="00273B33">
      <w:pPr>
        <w:pStyle w:val="Normalwebb"/>
        <w:spacing w:before="0" w:beforeAutospacing="0" w:after="240" w:afterAutospacing="0"/>
        <w:rPr>
          <w:rFonts w:asciiTheme="minorHAnsi" w:hAnsiTheme="minorHAnsi" w:cstheme="minorHAnsi"/>
          <w:i/>
          <w:iCs/>
          <w:color w:val="000000"/>
          <w:sz w:val="22"/>
          <w:szCs w:val="22"/>
        </w:rPr>
      </w:pPr>
    </w:p>
    <w:p w14:paraId="72B96B48" w14:textId="175CE6FD" w:rsidR="00F5533C" w:rsidRPr="00B41C29" w:rsidRDefault="00240956">
      <w:pPr>
        <w:rPr>
          <w:rFonts w:cstheme="minorHAnsi"/>
        </w:rPr>
      </w:pPr>
      <w:r w:rsidRPr="00B41C29">
        <w:rPr>
          <w:rFonts w:cstheme="minorHAnsi"/>
        </w:rPr>
        <w:t>EU-domstolen har under årens lopp fastställt bindande</w:t>
      </w:r>
      <w:r w:rsidR="00E63D44" w:rsidRPr="00B41C29">
        <w:rPr>
          <w:rFonts w:cstheme="minorHAnsi"/>
        </w:rPr>
        <w:t xml:space="preserve"> tolkningsprinciper för direktivtolkning</w:t>
      </w:r>
      <w:r w:rsidRPr="00B41C29">
        <w:rPr>
          <w:rFonts w:cstheme="minorHAnsi"/>
        </w:rPr>
        <w:t xml:space="preserve"> inom EU-rätten.</w:t>
      </w:r>
      <w:r w:rsidR="00E63D44" w:rsidRPr="00B41C29">
        <w:rPr>
          <w:rFonts w:cstheme="minorHAnsi"/>
        </w:rPr>
        <w:t xml:space="preserve"> Några av dessa </w:t>
      </w:r>
      <w:r w:rsidRPr="00B41C29">
        <w:rPr>
          <w:rFonts w:cstheme="minorHAnsi"/>
        </w:rPr>
        <w:t xml:space="preserve">har </w:t>
      </w:r>
      <w:r w:rsidR="00E63D44" w:rsidRPr="00B41C29">
        <w:rPr>
          <w:rFonts w:cstheme="minorHAnsi"/>
        </w:rPr>
        <w:t>lyfts i domen C674/17 som viktiga verktyg för nationella domstolar:</w:t>
      </w:r>
    </w:p>
    <w:p w14:paraId="38D89B55" w14:textId="77777777" w:rsidR="00273B33" w:rsidRPr="00B41C29" w:rsidRDefault="00E63D44" w:rsidP="00E63D44">
      <w:pPr>
        <w:pStyle w:val="Liststycke"/>
        <w:numPr>
          <w:ilvl w:val="0"/>
          <w:numId w:val="1"/>
        </w:numPr>
        <w:rPr>
          <w:rFonts w:cstheme="minorHAnsi"/>
        </w:rPr>
      </w:pPr>
      <w:r w:rsidRPr="00B41C29">
        <w:rPr>
          <w:rFonts w:cstheme="minorHAnsi"/>
        </w:rPr>
        <w:t xml:space="preserve">Restriktiv tolkning </w:t>
      </w:r>
    </w:p>
    <w:p w14:paraId="2DB21DE8" w14:textId="7DD03D9D" w:rsidR="00E63D44" w:rsidRPr="00B41C29" w:rsidRDefault="00E63D44" w:rsidP="00273B33">
      <w:pPr>
        <w:ind w:left="360"/>
        <w:rPr>
          <w:rFonts w:cstheme="minorHAnsi"/>
        </w:rPr>
      </w:pPr>
      <w:r w:rsidRPr="00B41C29">
        <w:rPr>
          <w:rFonts w:cstheme="minorHAnsi"/>
        </w:rPr>
        <w:t xml:space="preserve">EU-domstolen flera gånger slagit fast att eftersom </w:t>
      </w:r>
      <w:r w:rsidRPr="00B41C29">
        <w:rPr>
          <w:rFonts w:cstheme="minorHAnsi"/>
          <w:u w:val="single"/>
        </w:rPr>
        <w:t>artikel 16.1</w:t>
      </w:r>
      <w:r w:rsidRPr="00B41C29">
        <w:rPr>
          <w:rFonts w:cstheme="minorHAnsi"/>
        </w:rPr>
        <w:t xml:space="preserve"> i </w:t>
      </w:r>
      <w:r w:rsidR="00240956" w:rsidRPr="00B41C29">
        <w:rPr>
          <w:rFonts w:cstheme="minorHAnsi"/>
        </w:rPr>
        <w:t>art- och habitatdirektivet</w:t>
      </w:r>
      <w:r w:rsidRPr="00B41C29">
        <w:rPr>
          <w:rFonts w:cstheme="minorHAnsi"/>
        </w:rPr>
        <w:t xml:space="preserve"> innehåller bestämmelser om undantag från de skyldigheter att säkerställa ett strikt skydd av de arter som nämns i bilaga </w:t>
      </w:r>
      <w:r w:rsidR="00240956" w:rsidRPr="00B41C29">
        <w:rPr>
          <w:rFonts w:cstheme="minorHAnsi"/>
        </w:rPr>
        <w:t>4</w:t>
      </w:r>
      <w:r w:rsidRPr="00B41C29">
        <w:rPr>
          <w:rFonts w:cstheme="minorHAnsi"/>
        </w:rPr>
        <w:t xml:space="preserve">a till detta direktiv, </w:t>
      </w:r>
      <w:r w:rsidRPr="00B41C29">
        <w:rPr>
          <w:rFonts w:cstheme="minorHAnsi"/>
          <w:u w:val="single"/>
        </w:rPr>
        <w:t>ska denna artikel ges en restriktiv tolkning</w:t>
      </w:r>
      <w:r w:rsidRPr="00B41C29">
        <w:rPr>
          <w:rFonts w:cstheme="minorHAnsi"/>
        </w:rPr>
        <w:t>.</w:t>
      </w:r>
      <w:r w:rsidR="00F5533C" w:rsidRPr="00B41C29">
        <w:rPr>
          <w:rStyle w:val="Fotnotsreferens"/>
          <w:rFonts w:cstheme="minorHAnsi"/>
        </w:rPr>
        <w:footnoteReference w:id="8"/>
      </w:r>
    </w:p>
    <w:p w14:paraId="7F80E65F" w14:textId="0F12BBE2" w:rsidR="00E63D44" w:rsidRPr="00B41C29" w:rsidRDefault="00E63D44" w:rsidP="00E63D44">
      <w:pPr>
        <w:rPr>
          <w:rFonts w:cstheme="minorHAnsi"/>
        </w:rPr>
      </w:pPr>
    </w:p>
    <w:p w14:paraId="5A5A36A9" w14:textId="77777777" w:rsidR="00384CED" w:rsidRPr="00B41C29" w:rsidRDefault="00E63D44" w:rsidP="00384CED">
      <w:pPr>
        <w:pStyle w:val="Liststycke"/>
        <w:numPr>
          <w:ilvl w:val="0"/>
          <w:numId w:val="1"/>
        </w:numPr>
        <w:rPr>
          <w:rFonts w:cstheme="minorHAnsi"/>
        </w:rPr>
      </w:pPr>
      <w:r w:rsidRPr="00B41C29">
        <w:rPr>
          <w:rFonts w:cstheme="minorHAnsi"/>
        </w:rPr>
        <w:t xml:space="preserve">Myndigheten som beslutat om undantaget har bevisbördan </w:t>
      </w:r>
    </w:p>
    <w:p w14:paraId="5CBE79D5" w14:textId="31032BF5" w:rsidR="00E63D44" w:rsidRPr="00B41C29" w:rsidRDefault="00E63D44" w:rsidP="00F5533C">
      <w:pPr>
        <w:ind w:left="360"/>
        <w:rPr>
          <w:rFonts w:cstheme="minorHAnsi"/>
        </w:rPr>
      </w:pPr>
      <w:r w:rsidRPr="00B41C29">
        <w:rPr>
          <w:rFonts w:cstheme="minorHAnsi"/>
        </w:rPr>
        <w:t>Vid undantagsbestämmelser har den myndighet i medlemsstaten som fattat undantagsbeslutet bevisbördan</w:t>
      </w:r>
      <w:r w:rsidR="00384CED" w:rsidRPr="00B41C29">
        <w:rPr>
          <w:rFonts w:cstheme="minorHAnsi"/>
        </w:rPr>
        <w:t xml:space="preserve"> (Mål C-674-17, punkt </w:t>
      </w:r>
      <w:proofErr w:type="gramStart"/>
      <w:r w:rsidR="00384CED" w:rsidRPr="00B41C29">
        <w:rPr>
          <w:rFonts w:cstheme="minorHAnsi"/>
        </w:rPr>
        <w:t>44 )</w:t>
      </w:r>
      <w:proofErr w:type="gramEnd"/>
      <w:r w:rsidR="00384CED" w:rsidRPr="00B41C29">
        <w:rPr>
          <w:rFonts w:cstheme="minorHAnsi"/>
        </w:rPr>
        <w:t xml:space="preserve"> </w:t>
      </w:r>
      <w:r w:rsidRPr="00B41C29">
        <w:rPr>
          <w:rFonts w:cstheme="minorHAnsi"/>
        </w:rPr>
        <w:t xml:space="preserve">för att nödvändiga förutsättningar föreligger för varje undantag. Dessutom får ett undantag </w:t>
      </w:r>
      <w:r w:rsidRPr="00B41C29">
        <w:rPr>
          <w:rFonts w:cstheme="minorHAnsi"/>
          <w:u w:val="single"/>
        </w:rPr>
        <w:t xml:space="preserve">endast medges på grundval av beslut som är noggrant och tillräckligt motiverade </w:t>
      </w:r>
      <w:r w:rsidRPr="00B41C29">
        <w:rPr>
          <w:rFonts w:cstheme="minorHAnsi"/>
        </w:rPr>
        <w:t xml:space="preserve">och som </w:t>
      </w:r>
      <w:r w:rsidRPr="00B41C29">
        <w:rPr>
          <w:rFonts w:cstheme="minorHAnsi"/>
          <w:u w:val="single"/>
        </w:rPr>
        <w:t>hänvisar till de skäl, villkor och krav som anges i nämnda bestämmelse</w:t>
      </w:r>
      <w:r w:rsidRPr="00B41C29">
        <w:rPr>
          <w:rFonts w:cstheme="minorHAnsi"/>
        </w:rPr>
        <w:t>.</w:t>
      </w:r>
      <w:r w:rsidR="00384CED" w:rsidRPr="00B41C29">
        <w:rPr>
          <w:rFonts w:cstheme="minorHAnsi"/>
        </w:rPr>
        <w:t xml:space="preserve"> </w:t>
      </w:r>
      <w:r w:rsidR="00F5533C" w:rsidRPr="00B41C29">
        <w:rPr>
          <w:rStyle w:val="Fotnotsreferens"/>
          <w:rFonts w:cstheme="minorHAnsi"/>
        </w:rPr>
        <w:footnoteReference w:id="9"/>
      </w:r>
    </w:p>
    <w:p w14:paraId="76CFC94B" w14:textId="1C6A2DC5" w:rsidR="00384CED" w:rsidRPr="00B41C29" w:rsidRDefault="00384CED" w:rsidP="00384CED">
      <w:pPr>
        <w:rPr>
          <w:rFonts w:cstheme="minorHAnsi"/>
        </w:rPr>
      </w:pPr>
    </w:p>
    <w:p w14:paraId="2DD72E3F" w14:textId="26809DD7" w:rsidR="00384CED" w:rsidRPr="00B41C29" w:rsidRDefault="00384CED" w:rsidP="00384CED">
      <w:pPr>
        <w:pStyle w:val="Liststycke"/>
        <w:numPr>
          <w:ilvl w:val="0"/>
          <w:numId w:val="1"/>
        </w:numPr>
        <w:rPr>
          <w:rFonts w:cstheme="minorHAnsi"/>
        </w:rPr>
      </w:pPr>
      <w:r w:rsidRPr="00B41C29">
        <w:rPr>
          <w:rFonts w:cstheme="minorHAnsi"/>
        </w:rPr>
        <w:t xml:space="preserve">Vetenskaplighet - rättspraxis rörande artikel 9 i fågeldirektivet gäller för 16.1 i </w:t>
      </w:r>
      <w:r w:rsidR="00273B33" w:rsidRPr="00B41C29">
        <w:rPr>
          <w:rFonts w:cstheme="minorHAnsi"/>
        </w:rPr>
        <w:t>art- och habitat</w:t>
      </w:r>
      <w:r w:rsidRPr="00B41C29">
        <w:rPr>
          <w:rFonts w:cstheme="minorHAnsi"/>
        </w:rPr>
        <w:t xml:space="preserve">direktivet </w:t>
      </w:r>
      <w:r w:rsidR="00273B33" w:rsidRPr="00B41C29">
        <w:rPr>
          <w:rFonts w:cstheme="minorHAnsi"/>
        </w:rPr>
        <w:t>genom analog tolkning</w:t>
      </w:r>
    </w:p>
    <w:p w14:paraId="4CA18158" w14:textId="2F34182C" w:rsidR="00384CED" w:rsidRPr="00B41C29" w:rsidRDefault="00384CED" w:rsidP="00F5533C">
      <w:pPr>
        <w:ind w:left="360"/>
        <w:rPr>
          <w:rFonts w:cstheme="minorHAnsi"/>
        </w:rPr>
      </w:pPr>
      <w:r w:rsidRPr="00B41C29">
        <w:rPr>
          <w:rFonts w:cstheme="minorHAnsi"/>
        </w:rPr>
        <w:t xml:space="preserve">Rättspraxis som rör artikel 9 i fågeldirektivet ger </w:t>
      </w:r>
      <w:r w:rsidR="00F5533C" w:rsidRPr="00B41C29">
        <w:rPr>
          <w:rFonts w:cstheme="minorHAnsi"/>
        </w:rPr>
        <w:t>m</w:t>
      </w:r>
      <w:r w:rsidRPr="00B41C29">
        <w:rPr>
          <w:rFonts w:cstheme="minorHAnsi"/>
        </w:rPr>
        <w:t xml:space="preserve">edlemsstaterna tillåtelse att göra undantag från sina skyldigheter att skydda vilda fågelarter i situationer som motsvarar de situationer som anges i artikel 16.1 i livsmiljödirektivet. Denna praxis är relevant i samband med tolkningen av artikel 16.1 av habitatdirektivet. Framför allt har EU-domstolen slagit fast att </w:t>
      </w:r>
      <w:r w:rsidRPr="00B41C29">
        <w:rPr>
          <w:rFonts w:cstheme="minorHAnsi"/>
          <w:u w:val="single"/>
        </w:rPr>
        <w:t>varje undantag som medges enligt artikel 9 i fågeldirektivet ska grundas på vetenskapliga uppgifter om geografiska, klimatmässiga, miljömässiga och biologiska förhållanden</w:t>
      </w:r>
      <w:r w:rsidRPr="00B41C29">
        <w:rPr>
          <w:rFonts w:cstheme="minorHAnsi"/>
        </w:rPr>
        <w:t>.</w:t>
      </w:r>
      <w:r w:rsidRPr="00B41C29">
        <w:rPr>
          <w:rFonts w:cstheme="minorHAnsi"/>
          <w:u w:val="single"/>
        </w:rPr>
        <w:t xml:space="preserve"> Denna princip kan, i likhet med de andra bedömningar som följer av rättspraxis, överföras på artikel 16.1 i livsmiljödirektivet</w:t>
      </w:r>
      <w:r w:rsidRPr="00B41C29">
        <w:rPr>
          <w:rFonts w:cstheme="minorHAnsi"/>
        </w:rPr>
        <w:t xml:space="preserve">. </w:t>
      </w:r>
      <w:r w:rsidR="00F5533C" w:rsidRPr="00B41C29">
        <w:rPr>
          <w:rStyle w:val="Fotnotsreferens"/>
          <w:rFonts w:cstheme="minorHAnsi"/>
        </w:rPr>
        <w:footnoteReference w:id="10"/>
      </w:r>
      <w:r w:rsidR="00273B33" w:rsidRPr="00B41C29">
        <w:rPr>
          <w:rFonts w:cstheme="minorHAnsi"/>
        </w:rPr>
        <w:br/>
      </w:r>
    </w:p>
    <w:p w14:paraId="29E8438E" w14:textId="77777777" w:rsidR="00384CED" w:rsidRPr="00B41C29" w:rsidRDefault="00384CED" w:rsidP="00384CED">
      <w:pPr>
        <w:pStyle w:val="Liststycke"/>
        <w:numPr>
          <w:ilvl w:val="0"/>
          <w:numId w:val="1"/>
        </w:numPr>
        <w:rPr>
          <w:rFonts w:cstheme="minorHAnsi"/>
        </w:rPr>
      </w:pPr>
      <w:r w:rsidRPr="00B41C29">
        <w:rPr>
          <w:rFonts w:cstheme="minorHAnsi"/>
        </w:rPr>
        <w:t xml:space="preserve">Proportionalitet </w:t>
      </w:r>
    </w:p>
    <w:p w14:paraId="7ADDFEA9" w14:textId="3761E294" w:rsidR="000027FD" w:rsidRPr="00B41C29" w:rsidRDefault="00384CED" w:rsidP="00F5533C">
      <w:pPr>
        <w:ind w:left="360"/>
        <w:rPr>
          <w:rFonts w:cstheme="minorHAnsi"/>
        </w:rPr>
      </w:pPr>
      <w:r w:rsidRPr="00B41C29">
        <w:rPr>
          <w:rFonts w:cstheme="minorHAnsi"/>
        </w:rPr>
        <w:lastRenderedPageBreak/>
        <w:t xml:space="preserve">Proportionalitetsprincipen är en av de </w:t>
      </w:r>
      <w:r w:rsidR="00F5533C" w:rsidRPr="00B41C29">
        <w:rPr>
          <w:rFonts w:cstheme="minorHAnsi"/>
        </w:rPr>
        <w:t xml:space="preserve">viktigaste </w:t>
      </w:r>
      <w:r w:rsidRPr="00B41C29">
        <w:rPr>
          <w:rFonts w:cstheme="minorHAnsi"/>
        </w:rPr>
        <w:t xml:space="preserve">primärrättsliga principerna som reglerar unionsrätten. Detta villkor innebär ett krav på att en medlemsstat, som planerar att medge ett undantag, tydligt identifierar målet som eftersträvas. Så snart målet har identifierats ska medlemsstaten fastställa att undantaget är </w:t>
      </w:r>
      <w:r w:rsidRPr="00B41C29">
        <w:rPr>
          <w:rFonts w:cstheme="minorHAnsi"/>
          <w:u w:val="single"/>
        </w:rPr>
        <w:t>lämpligt och nödvändigt</w:t>
      </w:r>
      <w:r w:rsidRPr="00B41C29">
        <w:rPr>
          <w:rFonts w:cstheme="minorHAnsi"/>
        </w:rPr>
        <w:t xml:space="preserve"> för att säkerställa att målet förverkligas.</w:t>
      </w:r>
      <w:r w:rsidR="00F5533C" w:rsidRPr="00B41C29">
        <w:rPr>
          <w:rFonts w:cstheme="minorHAnsi"/>
        </w:rPr>
        <w:t xml:space="preserve"> </w:t>
      </w:r>
      <w:r w:rsidRPr="00B41C29">
        <w:rPr>
          <w:rFonts w:cstheme="minorHAnsi"/>
        </w:rPr>
        <w:t xml:space="preserve"> EUD lyfter i kommissionens riktlinjer</w:t>
      </w:r>
      <w:r w:rsidR="00F5533C" w:rsidRPr="00B41C29">
        <w:rPr>
          <w:rFonts w:cstheme="minorHAnsi"/>
        </w:rPr>
        <w:t xml:space="preserve"> </w:t>
      </w:r>
      <w:r w:rsidRPr="00B41C29">
        <w:rPr>
          <w:rFonts w:cstheme="minorHAnsi"/>
        </w:rPr>
        <w:t xml:space="preserve">ett ”proportionalitetstest i snäv mening”, som består i att kontrollera att de olägenheter som är förbundna med ett undantag inte är oproportionella i förhållande till det eftersträvade målet. </w:t>
      </w:r>
    </w:p>
    <w:p w14:paraId="6045FB05" w14:textId="6D9C1722" w:rsidR="00915875" w:rsidRPr="00B41C29" w:rsidRDefault="00B41C29" w:rsidP="000027FD">
      <w:pPr>
        <w:pStyle w:val="Liststycke"/>
        <w:ind w:left="1080"/>
        <w:rPr>
          <w:rFonts w:cstheme="minorHAnsi"/>
          <w:i/>
          <w:iCs/>
        </w:rPr>
      </w:pPr>
      <w:r>
        <w:rPr>
          <w:rFonts w:cstheme="minorHAnsi"/>
          <w:i/>
          <w:iCs/>
          <w:noProof/>
        </w:rPr>
        <mc:AlternateContent>
          <mc:Choice Requires="wps">
            <w:drawing>
              <wp:anchor distT="0" distB="0" distL="114300" distR="114300" simplePos="0" relativeHeight="251673600" behindDoc="0" locked="0" layoutInCell="1" allowOverlap="1" wp14:anchorId="1830610D" wp14:editId="2A0E1694">
                <wp:simplePos x="0" y="0"/>
                <wp:positionH relativeFrom="column">
                  <wp:posOffset>-163773</wp:posOffset>
                </wp:positionH>
                <wp:positionV relativeFrom="paragraph">
                  <wp:posOffset>234922</wp:posOffset>
                </wp:positionV>
                <wp:extent cx="3671248" cy="450376"/>
                <wp:effectExtent l="0" t="0" r="24765" b="26035"/>
                <wp:wrapNone/>
                <wp:docPr id="18" name="Rektangel 18"/>
                <wp:cNvGraphicFramePr/>
                <a:graphic xmlns:a="http://schemas.openxmlformats.org/drawingml/2006/main">
                  <a:graphicData uri="http://schemas.microsoft.com/office/word/2010/wordprocessingShape">
                    <wps:wsp>
                      <wps:cNvSpPr/>
                      <wps:spPr>
                        <a:xfrm>
                          <a:off x="0" y="0"/>
                          <a:ext cx="3671248" cy="4503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E1C6F6" id="Rektangel 18" o:spid="_x0000_s1026" style="position:absolute;margin-left:-12.9pt;margin-top:18.5pt;width:289.05pt;height:35.4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" filled="f" strokecolor="#1f3763 [1604]" strokeweight="1pt"/>
            </w:pict>
          </mc:Fallback>
        </mc:AlternateContent>
      </w:r>
    </w:p>
    <w:p w14:paraId="44138131" w14:textId="77777777" w:rsidR="00915875" w:rsidRPr="00B41C29" w:rsidRDefault="00915875" w:rsidP="000027FD">
      <w:pPr>
        <w:pStyle w:val="Liststycke"/>
        <w:ind w:left="1080"/>
        <w:rPr>
          <w:rFonts w:cstheme="minorHAnsi"/>
          <w:b/>
          <w:bCs/>
          <w:i/>
          <w:iCs/>
          <w:lang w:val="en-GB"/>
        </w:rPr>
      </w:pPr>
    </w:p>
    <w:p w14:paraId="133F8AA4" w14:textId="40ACF3D1" w:rsidR="00E63D44" w:rsidRPr="00B41C29" w:rsidRDefault="00247106" w:rsidP="00E63D44">
      <w:pPr>
        <w:rPr>
          <w:rFonts w:cstheme="minorHAnsi"/>
          <w:b/>
          <w:bCs/>
          <w:i/>
          <w:iCs/>
        </w:rPr>
      </w:pPr>
      <w:r w:rsidRPr="00B41C29">
        <w:rPr>
          <w:rFonts w:cstheme="minorHAnsi"/>
          <w:b/>
          <w:bCs/>
          <w:i/>
          <w:iCs/>
        </w:rPr>
        <w:t>3.2.3 Direktivens syfte och hänsyn till andra intressen</w:t>
      </w:r>
    </w:p>
    <w:p w14:paraId="47501B40" w14:textId="440B281C" w:rsidR="00247106" w:rsidRPr="00B41C29" w:rsidRDefault="00F5533C" w:rsidP="00E63D44">
      <w:pPr>
        <w:rPr>
          <w:rFonts w:cstheme="minorHAnsi"/>
        </w:rPr>
      </w:pPr>
      <w:r w:rsidRPr="00B41C29">
        <w:rPr>
          <w:rFonts w:cstheme="minorHAnsi"/>
          <w:noProof/>
        </w:rPr>
        <mc:AlternateContent>
          <mc:Choice Requires="wps">
            <w:drawing>
              <wp:anchor distT="0" distB="0" distL="114300" distR="114300" simplePos="0" relativeHeight="251663360" behindDoc="0" locked="0" layoutInCell="1" allowOverlap="1" wp14:anchorId="47B28DA1" wp14:editId="73594355">
                <wp:simplePos x="0" y="0"/>
                <wp:positionH relativeFrom="column">
                  <wp:posOffset>-112395</wp:posOffset>
                </wp:positionH>
                <wp:positionV relativeFrom="paragraph">
                  <wp:posOffset>452755</wp:posOffset>
                </wp:positionV>
                <wp:extent cx="6072505" cy="1440180"/>
                <wp:effectExtent l="0" t="0" r="23495" b="26670"/>
                <wp:wrapNone/>
                <wp:docPr id="8" name="Rektangel 8"/>
                <wp:cNvGraphicFramePr/>
                <a:graphic xmlns:a="http://schemas.openxmlformats.org/drawingml/2006/main">
                  <a:graphicData uri="http://schemas.microsoft.com/office/word/2010/wordprocessingShape">
                    <wps:wsp>
                      <wps:cNvSpPr/>
                      <wps:spPr>
                        <a:xfrm>
                          <a:off x="0" y="0"/>
                          <a:ext cx="6072505" cy="144018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3EC3C6" id="Rektangel 8" o:spid="_x0000_s1026" style="position:absolute;margin-left:-8.85pt;margin-top:35.65pt;width:478.15pt;height:113.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" filled="f" strokecolor="#1f3763 [1604]" strokeweight="1pt"/>
            </w:pict>
          </mc:Fallback>
        </mc:AlternateContent>
      </w:r>
      <w:r w:rsidR="00247106" w:rsidRPr="00B41C29">
        <w:rPr>
          <w:rFonts w:cstheme="minorHAnsi"/>
        </w:rPr>
        <w:t xml:space="preserve">EU-direktiven – som all EU-rätt – tolkas och implementeras </w:t>
      </w:r>
      <w:r w:rsidR="00273B33" w:rsidRPr="00B41C29">
        <w:rPr>
          <w:rFonts w:cstheme="minorHAnsi"/>
        </w:rPr>
        <w:t xml:space="preserve">teleologiskt </w:t>
      </w:r>
      <w:r w:rsidR="00247106" w:rsidRPr="00B41C29">
        <w:rPr>
          <w:rFonts w:cstheme="minorHAnsi"/>
        </w:rPr>
        <w:t>utifrån rättsaktens syfte och ändamål. Naturvårdsverket har lyft syftet som fastställs i artikel 2:</w:t>
      </w:r>
    </w:p>
    <w:p w14:paraId="68A5393E" w14:textId="2BBCFC15" w:rsidR="00AF6F3C" w:rsidRPr="00B41C29" w:rsidRDefault="00247106" w:rsidP="00E63D44">
      <w:pPr>
        <w:rPr>
          <w:rFonts w:cstheme="minorHAnsi"/>
          <w:i/>
          <w:iCs/>
        </w:rPr>
      </w:pPr>
      <w:r w:rsidRPr="00B41C29">
        <w:rPr>
          <w:rFonts w:cstheme="minorHAnsi"/>
          <w:i/>
          <w:iCs/>
        </w:rPr>
        <w:t>Artikel 2.1</w:t>
      </w:r>
      <w:r w:rsidR="00AF6F3C" w:rsidRPr="00B41C29">
        <w:rPr>
          <w:rFonts w:cstheme="minorHAnsi"/>
          <w:i/>
          <w:iCs/>
        </w:rPr>
        <w:t xml:space="preserve"> </w:t>
      </w:r>
      <w:r w:rsidRPr="00B41C29">
        <w:rPr>
          <w:rFonts w:cstheme="minorHAnsi"/>
          <w:i/>
          <w:iCs/>
        </w:rPr>
        <w:t>-</w:t>
      </w:r>
      <w:r w:rsidR="00AF6F3C" w:rsidRPr="00B41C29">
        <w:rPr>
          <w:rFonts w:cstheme="minorHAnsi"/>
          <w:i/>
          <w:iCs/>
        </w:rPr>
        <w:t xml:space="preserve"> 2.</w:t>
      </w:r>
      <w:r w:rsidRPr="00B41C29">
        <w:rPr>
          <w:rFonts w:cstheme="minorHAnsi"/>
          <w:i/>
          <w:iCs/>
        </w:rPr>
        <w:t>2 i art- och habitatdirektivet</w:t>
      </w:r>
      <w:r w:rsidRPr="00B41C29">
        <w:rPr>
          <w:rFonts w:cstheme="minorHAnsi"/>
        </w:rPr>
        <w:t xml:space="preserve"> </w:t>
      </w:r>
      <w:r w:rsidRPr="00B41C29">
        <w:rPr>
          <w:rFonts w:cstheme="minorHAnsi"/>
        </w:rPr>
        <w:br/>
      </w:r>
      <w:r w:rsidRPr="00B41C29">
        <w:rPr>
          <w:rFonts w:cstheme="minorHAnsi"/>
          <w:i/>
          <w:iCs/>
        </w:rPr>
        <w:t xml:space="preserve">”1. Syftet med detta direktiv är att bidra till att säkerställa den biologiska mångfalden genom bevarande av livsmiljöer samt vilda djur och växter i medlemsstaternas europeiska territorium som omfattas av fördraget. </w:t>
      </w:r>
    </w:p>
    <w:p w14:paraId="2F78CF6D" w14:textId="77777777" w:rsidR="00F5533C" w:rsidRPr="00B41C29" w:rsidRDefault="00F5533C" w:rsidP="00E63D44">
      <w:pPr>
        <w:rPr>
          <w:rFonts w:cstheme="minorHAnsi"/>
          <w:i/>
          <w:iCs/>
        </w:rPr>
      </w:pPr>
      <w:r w:rsidRPr="00B41C29">
        <w:rPr>
          <w:rFonts w:cstheme="minorHAnsi"/>
          <w:i/>
          <w:iCs/>
          <w:noProof/>
        </w:rPr>
        <mc:AlternateContent>
          <mc:Choice Requires="wps">
            <w:drawing>
              <wp:anchor distT="0" distB="0" distL="114300" distR="114300" simplePos="0" relativeHeight="251664384" behindDoc="0" locked="0" layoutInCell="1" allowOverlap="1" wp14:anchorId="792F8B09" wp14:editId="4594CDFB">
                <wp:simplePos x="0" y="0"/>
                <wp:positionH relativeFrom="margin">
                  <wp:posOffset>-112144</wp:posOffset>
                </wp:positionH>
                <wp:positionV relativeFrom="paragraph">
                  <wp:posOffset>596816</wp:posOffset>
                </wp:positionV>
                <wp:extent cx="6072505" cy="836763"/>
                <wp:effectExtent l="0" t="0" r="23495" b="20955"/>
                <wp:wrapNone/>
                <wp:docPr id="9" name="Rektangel 9"/>
                <wp:cNvGraphicFramePr/>
                <a:graphic xmlns:a="http://schemas.openxmlformats.org/drawingml/2006/main">
                  <a:graphicData uri="http://schemas.microsoft.com/office/word/2010/wordprocessingShape">
                    <wps:wsp>
                      <wps:cNvSpPr/>
                      <wps:spPr>
                        <a:xfrm>
                          <a:off x="0" y="0"/>
                          <a:ext cx="6072505" cy="83676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3D1F95" id="Rektangel 9" o:spid="_x0000_s1026" style="position:absolute;margin-left:-8.85pt;margin-top:47pt;width:478.15pt;height:65.9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" filled="f" strokecolor="#1f3763 [1604]" strokeweight="1pt">
                <w10:wrap anchorx="margin"/>
              </v:rect>
            </w:pict>
          </mc:Fallback>
        </mc:AlternateContent>
      </w:r>
      <w:r w:rsidR="00247106" w:rsidRPr="00B41C29">
        <w:rPr>
          <w:rFonts w:cstheme="minorHAnsi"/>
          <w:i/>
          <w:iCs/>
        </w:rPr>
        <w:t>2. Åtgärder som vidtas i enlighet med detta direktiv skall syfta till att bibehålla eller återställa en gynnsam bevarandestatus hos livsmiljöer samt arter av vilda djur och växter av gemenskapsintresse. ...</w:t>
      </w:r>
      <w:r w:rsidR="00247106" w:rsidRPr="00B41C29">
        <w:rPr>
          <w:rFonts w:cstheme="minorHAnsi"/>
        </w:rPr>
        <w:t xml:space="preserve"> </w:t>
      </w:r>
      <w:r w:rsidR="00247106" w:rsidRPr="00B41C29">
        <w:rPr>
          <w:rFonts w:cstheme="minorHAnsi"/>
        </w:rPr>
        <w:br/>
      </w:r>
    </w:p>
    <w:p w14:paraId="769F468D" w14:textId="60C2E284" w:rsidR="00247106" w:rsidRPr="00B41C29" w:rsidRDefault="00247106" w:rsidP="00E63D44">
      <w:pPr>
        <w:rPr>
          <w:rFonts w:cstheme="minorHAnsi"/>
        </w:rPr>
      </w:pPr>
      <w:r w:rsidRPr="00B41C29">
        <w:rPr>
          <w:rFonts w:cstheme="minorHAnsi"/>
          <w:i/>
          <w:iCs/>
        </w:rPr>
        <w:t xml:space="preserve">Artikel 2.3 i art- och habitatdirektivet ”… </w:t>
      </w:r>
      <w:r w:rsidR="00AF6F3C" w:rsidRPr="00B41C29">
        <w:rPr>
          <w:rFonts w:cstheme="minorHAnsi"/>
          <w:i/>
          <w:iCs/>
        </w:rPr>
        <w:br/>
      </w:r>
      <w:r w:rsidRPr="00B41C29">
        <w:rPr>
          <w:rFonts w:cstheme="minorHAnsi"/>
          <w:i/>
          <w:iCs/>
        </w:rPr>
        <w:t>3. Åtgärder som vidtas i enlighet med detta direktiv skall ta hänsyn till ekonomiska, sociala och kulturella behov och till regionala och lokala särdrag.”</w:t>
      </w:r>
    </w:p>
    <w:p w14:paraId="34186D2B" w14:textId="18C67456" w:rsidR="00FC2DC5" w:rsidRPr="00B41C29" w:rsidRDefault="00FC2DC5">
      <w:pPr>
        <w:rPr>
          <w:rFonts w:cstheme="minorHAnsi"/>
        </w:rPr>
      </w:pPr>
    </w:p>
    <w:p w14:paraId="73CC1B43" w14:textId="0AEBD843" w:rsidR="00AF6F3C" w:rsidRPr="00B41C29" w:rsidRDefault="00AF6F3C">
      <w:pPr>
        <w:rPr>
          <w:rFonts w:cstheme="minorHAnsi"/>
        </w:rPr>
      </w:pPr>
      <w:r w:rsidRPr="00B41C29">
        <w:rPr>
          <w:rFonts w:cstheme="minorHAnsi"/>
          <w:u w:val="single"/>
        </w:rPr>
        <w:t>Art- och habitatdirektivets syfte och ändamål kan</w:t>
      </w:r>
      <w:r w:rsidR="00273B33" w:rsidRPr="00B41C29">
        <w:rPr>
          <w:rFonts w:cstheme="minorHAnsi"/>
          <w:u w:val="single"/>
        </w:rPr>
        <w:t xml:space="preserve"> dock</w:t>
      </w:r>
      <w:r w:rsidRPr="00B41C29">
        <w:rPr>
          <w:rFonts w:cstheme="minorHAnsi"/>
          <w:u w:val="single"/>
        </w:rPr>
        <w:t xml:space="preserve"> inte tolkas utan artikel 12</w:t>
      </w:r>
      <w:r w:rsidRPr="00B41C29">
        <w:rPr>
          <w:rFonts w:cstheme="minorHAnsi"/>
        </w:rPr>
        <w:t xml:space="preserve">, som är kärnan i direktivet – det absoluta förbudet att döda vilda djur i sitt habitat. Skyddsjakten </w:t>
      </w:r>
      <w:r w:rsidR="00285833" w:rsidRPr="00B41C29">
        <w:rPr>
          <w:rFonts w:cstheme="minorHAnsi"/>
        </w:rPr>
        <w:t>som det</w:t>
      </w:r>
      <w:r w:rsidRPr="00B41C29">
        <w:rPr>
          <w:rFonts w:cstheme="minorHAnsi"/>
        </w:rPr>
        <w:t xml:space="preserve"> </w:t>
      </w:r>
      <w:r w:rsidR="00285833" w:rsidRPr="00B41C29">
        <w:rPr>
          <w:rFonts w:cstheme="minorHAnsi"/>
        </w:rPr>
        <w:t>avses är</w:t>
      </w:r>
      <w:r w:rsidRPr="00B41C29">
        <w:rPr>
          <w:rFonts w:cstheme="minorHAnsi"/>
        </w:rPr>
        <w:t xml:space="preserve"> ju ett undantag från artikel 12 – genom artikel 16 som i sin tur ska ha implementerats för rovdjurens del via några bestämmelser i jaktlagen och jaktförordningen. Det </w:t>
      </w:r>
      <w:r w:rsidR="00285833" w:rsidRPr="00B41C29">
        <w:rPr>
          <w:rFonts w:cstheme="minorHAnsi"/>
        </w:rPr>
        <w:t>EU-rättsliga</w:t>
      </w:r>
      <w:r w:rsidRPr="00B41C29">
        <w:rPr>
          <w:rFonts w:cstheme="minorHAnsi"/>
        </w:rPr>
        <w:t xml:space="preserve"> resonemanget faller </w:t>
      </w:r>
      <w:r w:rsidR="00285833" w:rsidRPr="00B41C29">
        <w:rPr>
          <w:rFonts w:cstheme="minorHAnsi"/>
        </w:rPr>
        <w:t>som ett korthus utan artikel 12.  Det är i artikel 12 som man hänvisar till bilagas 4a över de strikt skyddade arterna, där bland annat svenska rovdjurvarg, lo och björn anges.</w:t>
      </w:r>
    </w:p>
    <w:p w14:paraId="6756B359" w14:textId="5DA2CC2C" w:rsidR="00285833" w:rsidRPr="00B41C29" w:rsidRDefault="00285833">
      <w:pPr>
        <w:rPr>
          <w:rFonts w:cstheme="minorHAnsi"/>
          <w:u w:val="single"/>
        </w:rPr>
      </w:pPr>
      <w:proofErr w:type="spellStart"/>
      <w:r w:rsidRPr="00B41C29">
        <w:rPr>
          <w:rFonts w:cstheme="minorHAnsi"/>
          <w:b/>
          <w:bCs/>
          <w:u w:val="single"/>
        </w:rPr>
        <w:t>EU_rätten</w:t>
      </w:r>
      <w:proofErr w:type="spellEnd"/>
      <w:r w:rsidRPr="00B41C29">
        <w:rPr>
          <w:rFonts w:cstheme="minorHAnsi"/>
          <w:b/>
          <w:bCs/>
          <w:u w:val="single"/>
        </w:rPr>
        <w:t xml:space="preserve"> har fastställt att för ett ändamålsenligt genomförande av artikel 12 i habitatdirektivet krävs att medlemsstaterna införlivar det på ett fullständigt, klart och precist sätt</w:t>
      </w:r>
      <w:r w:rsidRPr="00B41C29">
        <w:rPr>
          <w:rFonts w:cstheme="minorHAnsi"/>
        </w:rPr>
        <w:t>.</w:t>
      </w:r>
      <w:r w:rsidRPr="00B41C29">
        <w:rPr>
          <w:rStyle w:val="Fotnotsreferens"/>
          <w:rFonts w:cstheme="minorHAnsi"/>
        </w:rPr>
        <w:footnoteReference w:id="11"/>
      </w:r>
      <w:r w:rsidRPr="00B41C29">
        <w:rPr>
          <w:rFonts w:cstheme="minorHAnsi"/>
        </w:rPr>
        <w:t xml:space="preserve"> Enligt fast rättspraxis ”skall bestämmelserna i ett direktiv genomföras med obestridligt bindande verkan samt på ett sådant tillräckligt tydligt, precist och klart sätt att kravet på rättssäkerhet uppfylls</w:t>
      </w:r>
      <w:r w:rsidR="00273B33" w:rsidRPr="00B41C29">
        <w:rPr>
          <w:rFonts w:cstheme="minorHAnsi"/>
        </w:rPr>
        <w:t>.</w:t>
      </w:r>
      <w:r w:rsidRPr="00B41C29">
        <w:rPr>
          <w:rFonts w:cstheme="minorHAnsi"/>
        </w:rPr>
        <w:t>”</w:t>
      </w:r>
      <w:r w:rsidR="00273B33" w:rsidRPr="00B41C29">
        <w:rPr>
          <w:rFonts w:cstheme="minorHAnsi"/>
        </w:rPr>
        <w:t xml:space="preserve"> (EU-kommissionens vägledning)</w:t>
      </w:r>
    </w:p>
    <w:p w14:paraId="26D4F0EE" w14:textId="78A0A8E7" w:rsidR="00285833" w:rsidRPr="00B41C29" w:rsidRDefault="00285833">
      <w:pPr>
        <w:rPr>
          <w:rFonts w:cstheme="minorHAnsi"/>
          <w:b/>
          <w:bCs/>
          <w:u w:val="single"/>
        </w:rPr>
      </w:pPr>
      <w:r w:rsidRPr="00B41C29">
        <w:rPr>
          <w:rFonts w:cstheme="minorHAnsi"/>
          <w:b/>
          <w:bCs/>
          <w:u w:val="single"/>
        </w:rPr>
        <w:t xml:space="preserve">Därmed måste artikel 12 anges i </w:t>
      </w:r>
      <w:r w:rsidR="00273B33" w:rsidRPr="00B41C29">
        <w:rPr>
          <w:rFonts w:cstheme="minorHAnsi"/>
          <w:b/>
          <w:bCs/>
          <w:u w:val="single"/>
        </w:rPr>
        <w:t xml:space="preserve">Naturvårdsverkets </w:t>
      </w:r>
      <w:r w:rsidRPr="00B41C29">
        <w:rPr>
          <w:rFonts w:cstheme="minorHAnsi"/>
          <w:b/>
          <w:bCs/>
          <w:u w:val="single"/>
        </w:rPr>
        <w:t>riktlinjer</w:t>
      </w:r>
      <w:r w:rsidR="00273B33" w:rsidRPr="00B41C29">
        <w:rPr>
          <w:rFonts w:cstheme="minorHAnsi"/>
          <w:b/>
          <w:bCs/>
          <w:u w:val="single"/>
        </w:rPr>
        <w:t xml:space="preserve"> </w:t>
      </w:r>
      <w:r w:rsidRPr="00B41C29">
        <w:rPr>
          <w:rFonts w:cstheme="minorHAnsi"/>
          <w:b/>
          <w:bCs/>
          <w:u w:val="single"/>
        </w:rPr>
        <w:t>i sin helhelhet:</w:t>
      </w:r>
    </w:p>
    <w:p w14:paraId="362D02D6" w14:textId="63E57C4E" w:rsidR="00285833" w:rsidRPr="00B41C29" w:rsidRDefault="00285833">
      <w:pPr>
        <w:rPr>
          <w:rFonts w:cstheme="minorHAnsi"/>
          <w:i/>
          <w:iCs/>
        </w:rPr>
      </w:pPr>
      <w:r w:rsidRPr="00B41C29">
        <w:rPr>
          <w:rFonts w:cstheme="minorHAnsi"/>
          <w:i/>
          <w:iCs/>
        </w:rPr>
        <w:lastRenderedPageBreak/>
        <w:t xml:space="preserve">Artikel 12.1. </w:t>
      </w:r>
      <w:r w:rsidRPr="00B41C29">
        <w:rPr>
          <w:rFonts w:cstheme="minorHAnsi"/>
          <w:i/>
          <w:iCs/>
        </w:rPr>
        <w:br/>
        <w:t xml:space="preserve">Medlemsstaterna skall vidta nödvändiga åtgärder för införande av ett strikt skyddssystem i det naturliga utbredningsområdet för de djurarter som finns förtecknade i </w:t>
      </w:r>
      <w:r w:rsidRPr="00B41C29">
        <w:rPr>
          <w:rFonts w:cstheme="minorHAnsi"/>
          <w:i/>
          <w:iCs/>
          <w:u w:val="single"/>
        </w:rPr>
        <w:t>bilaga 4 a</w:t>
      </w:r>
      <w:r w:rsidRPr="00B41C29">
        <w:rPr>
          <w:rFonts w:cstheme="minorHAnsi"/>
          <w:i/>
          <w:iCs/>
        </w:rPr>
        <w:t xml:space="preserve">, med </w:t>
      </w:r>
      <w:r w:rsidRPr="00B41C29">
        <w:rPr>
          <w:rFonts w:cstheme="minorHAnsi"/>
          <w:b/>
          <w:bCs/>
          <w:i/>
          <w:iCs/>
        </w:rPr>
        <w:t>förbud mot</w:t>
      </w:r>
      <w:r w:rsidRPr="00B41C29">
        <w:rPr>
          <w:rFonts w:cstheme="minorHAnsi"/>
          <w:i/>
          <w:iCs/>
        </w:rPr>
        <w:t xml:space="preserve"> a) </w:t>
      </w:r>
      <w:r w:rsidRPr="00B41C29">
        <w:rPr>
          <w:rFonts w:cstheme="minorHAnsi"/>
          <w:i/>
          <w:iCs/>
          <w:u w:val="single"/>
        </w:rPr>
        <w:t>att avsiktligt fånga eller döda exemplar</w:t>
      </w:r>
      <w:r w:rsidRPr="00B41C29">
        <w:rPr>
          <w:rFonts w:cstheme="minorHAnsi"/>
          <w:i/>
          <w:iCs/>
        </w:rPr>
        <w:t xml:space="preserve"> av dessa arter i naturen, </w:t>
      </w:r>
      <w:r w:rsidRPr="00B41C29">
        <w:rPr>
          <w:rFonts w:cstheme="minorHAnsi"/>
          <w:i/>
          <w:iCs/>
          <w:u w:val="single"/>
        </w:rPr>
        <w:t>oavsett hur detta görs</w:t>
      </w:r>
      <w:r w:rsidRPr="00B41C29">
        <w:rPr>
          <w:rFonts w:cstheme="minorHAnsi"/>
          <w:i/>
          <w:iCs/>
        </w:rPr>
        <w:t xml:space="preserve">, b) att avsiktligt </w:t>
      </w:r>
      <w:r w:rsidRPr="00B41C29">
        <w:rPr>
          <w:rFonts w:cstheme="minorHAnsi"/>
          <w:i/>
          <w:iCs/>
          <w:u w:val="single"/>
        </w:rPr>
        <w:t>störa</w:t>
      </w:r>
      <w:r w:rsidRPr="00B41C29">
        <w:rPr>
          <w:rFonts w:cstheme="minorHAnsi"/>
          <w:i/>
          <w:iCs/>
        </w:rPr>
        <w:t xml:space="preserve"> dessa arter, särskilt under deras parnings-, uppfödnings-, övervintrings- och flyttningsperioder, c) att avsiktligt förstöra eller samla in ägg i naturen, d) att skada eller förstöra parningsplatser eller rastplatser. </w:t>
      </w:r>
    </w:p>
    <w:p w14:paraId="37654AA8" w14:textId="77777777" w:rsidR="00285833" w:rsidRPr="00B41C29" w:rsidRDefault="00285833">
      <w:pPr>
        <w:rPr>
          <w:rFonts w:cstheme="minorHAnsi"/>
          <w:i/>
          <w:iCs/>
        </w:rPr>
      </w:pPr>
      <w:r w:rsidRPr="00B41C29">
        <w:rPr>
          <w:rFonts w:cstheme="minorHAnsi"/>
          <w:i/>
          <w:iCs/>
        </w:rPr>
        <w:t xml:space="preserve">12.2. För dessa arter skall medlemsstaterna förbjuda förvaring, transport och försäljning eller byte samt utbjudande till försäljning eller byte av exemplar som insamlats i naturen, med undantag av sådana som samlats på lagligt sätt före genomförandet av detta direktiv. </w:t>
      </w:r>
    </w:p>
    <w:p w14:paraId="26ACFCE1" w14:textId="77777777" w:rsidR="00285833" w:rsidRPr="00B41C29" w:rsidRDefault="00285833">
      <w:pPr>
        <w:rPr>
          <w:rFonts w:cstheme="minorHAnsi"/>
          <w:i/>
          <w:iCs/>
        </w:rPr>
      </w:pPr>
      <w:r w:rsidRPr="00B41C29">
        <w:rPr>
          <w:rFonts w:cstheme="minorHAnsi"/>
          <w:i/>
          <w:iCs/>
        </w:rPr>
        <w:t xml:space="preserve">12.3. Det förbud som avses i punkt 1 a och b samt punkt 2 skall gälla alla levnadsstadier hos de djur som omfattas av denna artikel. </w:t>
      </w:r>
    </w:p>
    <w:p w14:paraId="1C329202" w14:textId="6C181262" w:rsidR="00AF6F3C" w:rsidRPr="00B41C29" w:rsidRDefault="00285833">
      <w:pPr>
        <w:rPr>
          <w:rFonts w:cstheme="minorHAnsi"/>
          <w:i/>
          <w:iCs/>
        </w:rPr>
      </w:pPr>
      <w:r w:rsidRPr="00B41C29">
        <w:rPr>
          <w:rFonts w:cstheme="minorHAnsi"/>
          <w:i/>
          <w:iCs/>
        </w:rPr>
        <w:t>12.4. Medlemsstaterna skall införa ett system för övervakning av oavsiktlig fångst och oavsiktligt dödande av de djurarter som finns förtecknade i bilaga 4 a. Mot bakgrund av den insamlade informationen skall medlemsstaterna vidta de ytterligare forsknings- eller bevarandeåtgärder som är nödvändiga för att säkerställa att oavsiktlig fångst eller oavsiktligt dödande inte får betydande negativa följder för de berörda arterna.</w:t>
      </w:r>
    </w:p>
    <w:p w14:paraId="5200C1A7" w14:textId="68556418" w:rsidR="00285833" w:rsidRPr="00B41C29" w:rsidRDefault="00285833">
      <w:pPr>
        <w:rPr>
          <w:rFonts w:cstheme="minorHAnsi"/>
        </w:rPr>
      </w:pPr>
      <w:r w:rsidRPr="00B41C29">
        <w:rPr>
          <w:rFonts w:cstheme="minorHAnsi"/>
          <w:i/>
          <w:iCs/>
        </w:rPr>
        <w:t>EU-</w:t>
      </w:r>
      <w:r w:rsidR="00273B33" w:rsidRPr="00B41C29">
        <w:rPr>
          <w:rFonts w:cstheme="minorHAnsi"/>
          <w:i/>
          <w:iCs/>
        </w:rPr>
        <w:t>domstolen har</w:t>
      </w:r>
      <w:r w:rsidRPr="00B41C29">
        <w:rPr>
          <w:rFonts w:cstheme="minorHAnsi"/>
        </w:rPr>
        <w:t xml:space="preserve"> följaktligen slagit fast att det för att kraven på rättssäkerhet skall anses vara uppfyllda är särskilt viktigt att rättsläget framstår på ett klart och precist sätt för enskilda, så att de kan få full kännedom om sina rättigheter och skyldigheter samt vid behov kan åberopa dessa vid de nationella domstolarna.</w:t>
      </w:r>
      <w:r w:rsidRPr="00B41C29">
        <w:rPr>
          <w:rStyle w:val="Fotnotsreferens"/>
          <w:rFonts w:cstheme="minorHAnsi"/>
        </w:rPr>
        <w:footnoteReference w:id="12"/>
      </w:r>
    </w:p>
    <w:p w14:paraId="5C94729E" w14:textId="4EAE683D" w:rsidR="00285833" w:rsidRPr="00B41C29" w:rsidRDefault="00285833">
      <w:pPr>
        <w:rPr>
          <w:rFonts w:cstheme="minorHAnsi"/>
          <w:i/>
          <w:iCs/>
        </w:rPr>
      </w:pPr>
      <w:r w:rsidRPr="00B41C29">
        <w:rPr>
          <w:rFonts w:cstheme="minorHAnsi"/>
        </w:rPr>
        <w:t>EU-kommissionen har i sin senaste vägledning fastställt att ”att formellt införliva artikel 12 i den nationella lagstiftningen är inte i sig tillräckligt för att garantera att den är effektiv</w:t>
      </w:r>
      <w:r w:rsidRPr="00B41C29">
        <w:rPr>
          <w:rFonts w:cstheme="minorHAnsi"/>
          <w:u w:val="single"/>
        </w:rPr>
        <w:t>. Den måste kompletteras med ytterligare genomförandebestämmelser för att säkerställa ett strikt skydd som bygger på de särskilda förhållanden och de specifika problem och hot som gäller just arterna eller artgrupperna som förtecknas i bilaga 4</w:t>
      </w:r>
      <w:r w:rsidRPr="00B41C29">
        <w:rPr>
          <w:rFonts w:cstheme="minorHAnsi"/>
        </w:rPr>
        <w:t>.” (s. 10</w:t>
      </w:r>
      <w:r w:rsidR="0071736E" w:rsidRPr="00B41C29">
        <w:rPr>
          <w:rFonts w:cstheme="minorHAnsi"/>
        </w:rPr>
        <w:t xml:space="preserve"> i</w:t>
      </w:r>
      <w:r w:rsidRPr="00B41C29">
        <w:rPr>
          <w:rFonts w:cstheme="minorHAnsi"/>
        </w:rPr>
        <w:t xml:space="preserve"> </w:t>
      </w:r>
      <w:r w:rsidR="0071736E" w:rsidRPr="00B41C29">
        <w:rPr>
          <w:rFonts w:cstheme="minorHAnsi"/>
        </w:rPr>
        <w:t>Kommissionens Vägledning om strikt skydd för djurarter av gemenskapsintresse enligt habitatdirektivet, C (2021)7301)</w:t>
      </w:r>
    </w:p>
    <w:p w14:paraId="17CCFAF5" w14:textId="71C922E7" w:rsidR="0071736E" w:rsidRDefault="0071736E">
      <w:pPr>
        <w:rPr>
          <w:rFonts w:cstheme="minorHAnsi"/>
        </w:rPr>
      </w:pPr>
      <w:r w:rsidRPr="00B41C29">
        <w:rPr>
          <w:rFonts w:cstheme="minorHAnsi"/>
        </w:rPr>
        <w:t>Med tanke på att dessa Naturvårdsverkets riktlinjer syftar till att vägleda och ge råd till enskilda handläggare som även i sin tjänsteroll blir tjänsteansvariga för sina beslut i sina författningsmyndigheter, måste artikel 12 och dess betydelse förklaras för dem.</w:t>
      </w:r>
    </w:p>
    <w:p w14:paraId="2E90FD3A" w14:textId="77777777" w:rsidR="00B41C29" w:rsidRPr="00B41C29" w:rsidRDefault="00B41C29">
      <w:pPr>
        <w:rPr>
          <w:rFonts w:cstheme="minorHAnsi"/>
        </w:rPr>
      </w:pPr>
    </w:p>
    <w:p w14:paraId="2CFB2701" w14:textId="690F62CD" w:rsidR="006B5425" w:rsidRPr="00B41C29" w:rsidRDefault="006B5425">
      <w:pPr>
        <w:rPr>
          <w:rFonts w:cstheme="minorHAnsi"/>
        </w:rPr>
      </w:pPr>
      <w:r w:rsidRPr="00B41C29">
        <w:rPr>
          <w:rFonts w:cstheme="minorHAnsi"/>
          <w:noProof/>
        </w:rPr>
        <mc:AlternateContent>
          <mc:Choice Requires="wps">
            <w:drawing>
              <wp:anchor distT="0" distB="0" distL="114300" distR="114300" simplePos="0" relativeHeight="251668480" behindDoc="0" locked="0" layoutInCell="1" allowOverlap="1" wp14:anchorId="0E4E5035" wp14:editId="29A2F317">
                <wp:simplePos x="0" y="0"/>
                <wp:positionH relativeFrom="column">
                  <wp:posOffset>-94891</wp:posOffset>
                </wp:positionH>
                <wp:positionV relativeFrom="paragraph">
                  <wp:posOffset>174721</wp:posOffset>
                </wp:positionV>
                <wp:extent cx="1932317" cy="457200"/>
                <wp:effectExtent l="0" t="0" r="10795" b="19050"/>
                <wp:wrapNone/>
                <wp:docPr id="13" name="Rektangel 13"/>
                <wp:cNvGraphicFramePr/>
                <a:graphic xmlns:a="http://schemas.openxmlformats.org/drawingml/2006/main">
                  <a:graphicData uri="http://schemas.microsoft.com/office/word/2010/wordprocessingShape">
                    <wps:wsp>
                      <wps:cNvSpPr/>
                      <wps:spPr>
                        <a:xfrm>
                          <a:off x="0" y="0"/>
                          <a:ext cx="1932317" cy="4572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FCD880" id="Rektangel 13" o:spid="_x0000_s1026" style="position:absolute;margin-left:-7.45pt;margin-top:13.75pt;width:152.15pt;height:36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" filled="f" strokecolor="#1f3763 [1604]" strokeweight="1pt"/>
            </w:pict>
          </mc:Fallback>
        </mc:AlternateContent>
      </w:r>
    </w:p>
    <w:p w14:paraId="4B3553CB" w14:textId="3A141630" w:rsidR="005B7BE8" w:rsidRPr="00B41C29" w:rsidRDefault="006B5425">
      <w:pPr>
        <w:rPr>
          <w:rFonts w:cstheme="minorHAnsi"/>
          <w:b/>
          <w:bCs/>
          <w:i/>
          <w:iCs/>
        </w:rPr>
      </w:pPr>
      <w:r w:rsidRPr="00B41C29">
        <w:rPr>
          <w:rFonts w:cstheme="minorHAnsi"/>
          <w:b/>
          <w:bCs/>
          <w:i/>
          <w:iCs/>
        </w:rPr>
        <w:t>3.2.1 EU-domstolens praxis</w:t>
      </w:r>
    </w:p>
    <w:p w14:paraId="2FA3EFD7" w14:textId="77777777" w:rsidR="006B5425" w:rsidRPr="00B41C29" w:rsidRDefault="006B5425">
      <w:pPr>
        <w:rPr>
          <w:rFonts w:cstheme="minorHAnsi"/>
          <w:b/>
          <w:bCs/>
          <w:i/>
          <w:iCs/>
        </w:rPr>
      </w:pPr>
    </w:p>
    <w:p w14:paraId="1F281AB6" w14:textId="1087A513" w:rsidR="005B7BE8" w:rsidRPr="00B41C29" w:rsidRDefault="005B7BE8">
      <w:pPr>
        <w:rPr>
          <w:rFonts w:cstheme="minorHAnsi"/>
          <w:b/>
          <w:bCs/>
        </w:rPr>
      </w:pPr>
      <w:r w:rsidRPr="00B41C29">
        <w:rPr>
          <w:rFonts w:cstheme="minorHAnsi"/>
          <w:b/>
          <w:bCs/>
          <w:noProof/>
        </w:rPr>
        <mc:AlternateContent>
          <mc:Choice Requires="wps">
            <w:drawing>
              <wp:anchor distT="0" distB="0" distL="114300" distR="114300" simplePos="0" relativeHeight="251667456" behindDoc="0" locked="0" layoutInCell="1" allowOverlap="1" wp14:anchorId="0CC68EAF" wp14:editId="4FA88000">
                <wp:simplePos x="0" y="0"/>
                <wp:positionH relativeFrom="column">
                  <wp:posOffset>388189</wp:posOffset>
                </wp:positionH>
                <wp:positionV relativeFrom="paragraph">
                  <wp:posOffset>419651</wp:posOffset>
                </wp:positionV>
                <wp:extent cx="4485736" cy="327804"/>
                <wp:effectExtent l="0" t="0" r="10160" b="15240"/>
                <wp:wrapNone/>
                <wp:docPr id="12" name="Rektangel 12"/>
                <wp:cNvGraphicFramePr/>
                <a:graphic xmlns:a="http://schemas.openxmlformats.org/drawingml/2006/main">
                  <a:graphicData uri="http://schemas.microsoft.com/office/word/2010/wordprocessingShape">
                    <wps:wsp>
                      <wps:cNvSpPr/>
                      <wps:spPr>
                        <a:xfrm>
                          <a:off x="0" y="0"/>
                          <a:ext cx="4485736" cy="32780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17A95F" id="Rektangel 12" o:spid="_x0000_s1026" style="position:absolute;margin-left:30.55pt;margin-top:33.05pt;width:353.2pt;height:25.8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" filled="f" strokecolor="#1f3763 [1604]" strokeweight="1pt"/>
            </w:pict>
          </mc:Fallback>
        </mc:AlternateContent>
      </w:r>
      <w:r w:rsidR="006B5425" w:rsidRPr="00B41C29">
        <w:rPr>
          <w:rFonts w:cstheme="minorHAnsi"/>
          <w:b/>
          <w:bCs/>
        </w:rPr>
        <w:t>Naturvårdsverkets lyfter några punkter av EU-domstolens praxis, men innebörden är till viss del korrumperad i riktlinjerna på ett sätt som ej gynnar skyddsobjektet, dvs rovdjuren.</w:t>
      </w:r>
    </w:p>
    <w:p w14:paraId="64387F3E" w14:textId="372C1AF9" w:rsidR="005B7BE8" w:rsidRPr="00B41C29" w:rsidRDefault="005B7BE8" w:rsidP="005B7BE8">
      <w:pPr>
        <w:pStyle w:val="Liststycke"/>
        <w:numPr>
          <w:ilvl w:val="0"/>
          <w:numId w:val="3"/>
        </w:numPr>
        <w:rPr>
          <w:rFonts w:cstheme="minorHAnsi"/>
          <w:i/>
          <w:iCs/>
        </w:rPr>
      </w:pPr>
      <w:r w:rsidRPr="00B41C29">
        <w:rPr>
          <w:rFonts w:cstheme="minorHAnsi"/>
          <w:i/>
          <w:iCs/>
        </w:rPr>
        <w:t xml:space="preserve">undantagsmöjligheterna </w:t>
      </w:r>
      <w:r w:rsidRPr="00B41C29">
        <w:rPr>
          <w:rFonts w:cstheme="minorHAnsi"/>
          <w:i/>
          <w:iCs/>
          <w:u w:val="single"/>
        </w:rPr>
        <w:t>bör</w:t>
      </w:r>
      <w:r w:rsidRPr="00B41C29">
        <w:rPr>
          <w:rFonts w:cstheme="minorHAnsi"/>
          <w:i/>
          <w:iCs/>
        </w:rPr>
        <w:t xml:space="preserve"> tolkas restriktivt. – </w:t>
      </w:r>
      <w:proofErr w:type="spellStart"/>
      <w:r w:rsidRPr="00B41C29">
        <w:rPr>
          <w:rFonts w:cstheme="minorHAnsi"/>
          <w:i/>
          <w:iCs/>
        </w:rPr>
        <w:t>Hävisning</w:t>
      </w:r>
      <w:proofErr w:type="spellEnd"/>
      <w:r w:rsidRPr="00B41C29">
        <w:rPr>
          <w:rFonts w:cstheme="minorHAnsi"/>
          <w:i/>
          <w:iCs/>
        </w:rPr>
        <w:t xml:space="preserve">: </w:t>
      </w:r>
      <w:r w:rsidR="006B5425" w:rsidRPr="00B41C29">
        <w:rPr>
          <w:rFonts w:cstheme="minorHAnsi"/>
          <w:i/>
          <w:iCs/>
        </w:rPr>
        <w:t>C-6/04 punkt 111</w:t>
      </w:r>
    </w:p>
    <w:p w14:paraId="1069CD31" w14:textId="583B069D" w:rsidR="00247106" w:rsidRPr="00B41C29" w:rsidRDefault="005B7BE8" w:rsidP="005B7BE8">
      <w:pPr>
        <w:pStyle w:val="Liststycke"/>
        <w:rPr>
          <w:rFonts w:cstheme="minorHAnsi"/>
        </w:rPr>
      </w:pPr>
      <w:r w:rsidRPr="00B41C29">
        <w:rPr>
          <w:rFonts w:cstheme="minorHAnsi"/>
          <w:i/>
          <w:iCs/>
        </w:rPr>
        <w:br/>
      </w:r>
      <w:r w:rsidR="00AF6F3C" w:rsidRPr="00B41C29">
        <w:rPr>
          <w:rFonts w:cstheme="minorHAnsi"/>
          <w:u w:val="single"/>
        </w:rPr>
        <w:t xml:space="preserve">Undantagsmöjligheterna </w:t>
      </w:r>
      <w:r w:rsidR="00996A96" w:rsidRPr="00B41C29">
        <w:rPr>
          <w:rFonts w:cstheme="minorHAnsi"/>
          <w:u w:val="single"/>
        </w:rPr>
        <w:t>ska</w:t>
      </w:r>
      <w:r w:rsidR="00AF6F3C" w:rsidRPr="00B41C29">
        <w:rPr>
          <w:rFonts w:cstheme="minorHAnsi"/>
          <w:u w:val="single"/>
        </w:rPr>
        <w:t xml:space="preserve"> tolkas restriktivt</w:t>
      </w:r>
      <w:r w:rsidR="00AF6F3C" w:rsidRPr="00B41C29">
        <w:rPr>
          <w:rFonts w:cstheme="minorHAnsi"/>
        </w:rPr>
        <w:t>, med hänvisning till C-6/04, punkt 111</w:t>
      </w:r>
      <w:r w:rsidR="006B5425" w:rsidRPr="00B41C29">
        <w:rPr>
          <w:rFonts w:cstheme="minorHAnsi"/>
        </w:rPr>
        <w:t>:</w:t>
      </w:r>
      <w:r w:rsidR="006B5425" w:rsidRPr="00B41C29">
        <w:rPr>
          <w:rFonts w:cstheme="minorHAnsi"/>
        </w:rPr>
        <w:br/>
      </w:r>
      <w:r w:rsidR="00AF6F3C" w:rsidRPr="00B41C29">
        <w:rPr>
          <w:rFonts w:cstheme="minorHAnsi"/>
          <w:i/>
          <w:iCs/>
        </w:rPr>
        <w:lastRenderedPageBreak/>
        <w:t xml:space="preserve">”Artikel 16 i direktiv 92/43 om bevarande av livsmiljöer samt vilda djur och växter, i vilken det klart anges på vilka villkor medlemsstaterna får göra undantag från bestämmelserna om skydd för arter i artiklarna 12–15 a och b häri, </w:t>
      </w:r>
      <w:r w:rsidR="00AF6F3C" w:rsidRPr="00B41C29">
        <w:rPr>
          <w:rFonts w:cstheme="minorHAnsi"/>
          <w:i/>
          <w:iCs/>
          <w:u w:val="single"/>
        </w:rPr>
        <w:t xml:space="preserve">skall </w:t>
      </w:r>
      <w:r w:rsidR="00AF6F3C" w:rsidRPr="00B41C29">
        <w:rPr>
          <w:rFonts w:cstheme="minorHAnsi"/>
          <w:i/>
          <w:iCs/>
        </w:rPr>
        <w:t>tolkas restriktivt”.</w:t>
      </w:r>
      <w:r w:rsidR="00996A96" w:rsidRPr="00B41C29">
        <w:rPr>
          <w:rFonts w:cstheme="minorHAnsi"/>
        </w:rPr>
        <w:t xml:space="preserve"> </w:t>
      </w:r>
      <w:r w:rsidR="006B5425" w:rsidRPr="00B41C29">
        <w:rPr>
          <w:rFonts w:cstheme="minorHAnsi"/>
        </w:rPr>
        <w:br/>
      </w:r>
      <w:r w:rsidR="00996A96" w:rsidRPr="00B41C29">
        <w:rPr>
          <w:rFonts w:cstheme="minorHAnsi"/>
        </w:rPr>
        <w:t xml:space="preserve">Naturvårdsverket anger i riktlinjerna att de ”bör” tolkas </w:t>
      </w:r>
      <w:r w:rsidRPr="00B41C29">
        <w:rPr>
          <w:rFonts w:cstheme="minorHAnsi"/>
        </w:rPr>
        <w:t>restriktivt</w:t>
      </w:r>
      <w:r w:rsidR="00996A96" w:rsidRPr="00B41C29">
        <w:rPr>
          <w:rFonts w:cstheme="minorHAnsi"/>
        </w:rPr>
        <w:t>, vilket korrumperar betydelsen av den rättsliga bestämmelsen</w:t>
      </w:r>
      <w:r w:rsidR="006B5425" w:rsidRPr="00B41C29">
        <w:rPr>
          <w:rFonts w:cstheme="minorHAnsi"/>
        </w:rPr>
        <w:t xml:space="preserve">, som är </w:t>
      </w:r>
      <w:r w:rsidR="006B5425" w:rsidRPr="00B41C29">
        <w:rPr>
          <w:rFonts w:cstheme="minorHAnsi"/>
          <w:u w:val="single"/>
        </w:rPr>
        <w:t xml:space="preserve">bindande, dvs </w:t>
      </w:r>
      <w:proofErr w:type="spellStart"/>
      <w:r w:rsidR="006B5425" w:rsidRPr="00B41C29">
        <w:rPr>
          <w:rFonts w:cstheme="minorHAnsi"/>
          <w:u w:val="single"/>
        </w:rPr>
        <w:t>indispositiv</w:t>
      </w:r>
      <w:proofErr w:type="spellEnd"/>
      <w:r w:rsidR="006B5425" w:rsidRPr="00B41C29">
        <w:rPr>
          <w:rFonts w:cstheme="minorHAnsi"/>
        </w:rPr>
        <w:t>.</w:t>
      </w:r>
      <w:r w:rsidR="00996A96" w:rsidRPr="00B41C29">
        <w:rPr>
          <w:rFonts w:cstheme="minorHAnsi"/>
        </w:rPr>
        <w:t xml:space="preserve"> </w:t>
      </w:r>
      <w:r w:rsidR="00620DDD" w:rsidRPr="00B41C29">
        <w:rPr>
          <w:rFonts w:cstheme="minorHAnsi"/>
        </w:rPr>
        <w:t xml:space="preserve"> Det är inte heller tydligt att det är undantag från förbudet att döda vilda djur som man ska vara restriktiv till.</w:t>
      </w:r>
    </w:p>
    <w:p w14:paraId="7C9AD8B6" w14:textId="3A32D1BF" w:rsidR="006B5425" w:rsidRPr="00B41C29" w:rsidRDefault="006B5425" w:rsidP="005B7BE8">
      <w:pPr>
        <w:pStyle w:val="Liststycke"/>
        <w:rPr>
          <w:rFonts w:cstheme="minorHAnsi"/>
        </w:rPr>
      </w:pPr>
      <w:r w:rsidRPr="00B41C29">
        <w:rPr>
          <w:rFonts w:cstheme="minorHAnsi"/>
          <w:noProof/>
        </w:rPr>
        <mc:AlternateContent>
          <mc:Choice Requires="wps">
            <w:drawing>
              <wp:anchor distT="0" distB="0" distL="114300" distR="114300" simplePos="0" relativeHeight="251669504" behindDoc="0" locked="0" layoutInCell="1" allowOverlap="1" wp14:anchorId="4AA56B65" wp14:editId="4260B234">
                <wp:simplePos x="0" y="0"/>
                <wp:positionH relativeFrom="column">
                  <wp:posOffset>405442</wp:posOffset>
                </wp:positionH>
                <wp:positionV relativeFrom="paragraph">
                  <wp:posOffset>153347</wp:posOffset>
                </wp:positionV>
                <wp:extent cx="5236233" cy="379562"/>
                <wp:effectExtent l="0" t="0" r="21590" b="20955"/>
                <wp:wrapNone/>
                <wp:docPr id="14" name="Rektangel 14"/>
                <wp:cNvGraphicFramePr/>
                <a:graphic xmlns:a="http://schemas.openxmlformats.org/drawingml/2006/main">
                  <a:graphicData uri="http://schemas.microsoft.com/office/word/2010/wordprocessingShape">
                    <wps:wsp>
                      <wps:cNvSpPr/>
                      <wps:spPr>
                        <a:xfrm>
                          <a:off x="0" y="0"/>
                          <a:ext cx="5236233" cy="37956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2C7A27" id="Rektangel 14" o:spid="_x0000_s1026" style="position:absolute;margin-left:31.9pt;margin-top:12.05pt;width:412.3pt;height:29.9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" filled="f" strokecolor="#1f3763 [1604]" strokeweight="1pt"/>
            </w:pict>
          </mc:Fallback>
        </mc:AlternateContent>
      </w:r>
    </w:p>
    <w:p w14:paraId="42CB1A4B" w14:textId="194243F1" w:rsidR="006B5425" w:rsidRPr="00B41C29" w:rsidRDefault="006B5425" w:rsidP="006B5425">
      <w:pPr>
        <w:pStyle w:val="Liststycke"/>
        <w:numPr>
          <w:ilvl w:val="0"/>
          <w:numId w:val="3"/>
        </w:numPr>
        <w:rPr>
          <w:rFonts w:cstheme="minorHAnsi"/>
          <w:i/>
          <w:iCs/>
        </w:rPr>
      </w:pPr>
      <w:r w:rsidRPr="00B41C29">
        <w:rPr>
          <w:rFonts w:cstheme="minorHAnsi"/>
          <w:i/>
          <w:iCs/>
        </w:rPr>
        <w:t>undantag kan enbart medges i konkreta enskilda fall och för att uppfylla klart definierade behov. – Hänvisning C-118/94 Punkt 21</w:t>
      </w:r>
    </w:p>
    <w:p w14:paraId="14C7EFDA" w14:textId="1E3528A1" w:rsidR="005B7BE8" w:rsidRPr="00B41C29" w:rsidRDefault="005B7BE8" w:rsidP="005B7BE8">
      <w:pPr>
        <w:pStyle w:val="Liststycke"/>
        <w:rPr>
          <w:rFonts w:cstheme="minorHAnsi"/>
          <w:b/>
          <w:bCs/>
        </w:rPr>
      </w:pPr>
    </w:p>
    <w:p w14:paraId="7864652D" w14:textId="47A64C43" w:rsidR="006B5425" w:rsidRPr="00B41C29" w:rsidRDefault="006B5425" w:rsidP="005B7BE8">
      <w:pPr>
        <w:pStyle w:val="Liststycke"/>
        <w:rPr>
          <w:rFonts w:cstheme="minorHAnsi"/>
          <w:i/>
          <w:iCs/>
          <w:color w:val="000000"/>
        </w:rPr>
      </w:pPr>
      <w:r w:rsidRPr="00B41C29">
        <w:rPr>
          <w:rFonts w:cstheme="minorHAnsi"/>
          <w:b/>
          <w:bCs/>
        </w:rPr>
        <w:t>Denna tolkning</w:t>
      </w:r>
      <w:r w:rsidR="00620DDD" w:rsidRPr="00B41C29">
        <w:rPr>
          <w:rFonts w:cstheme="minorHAnsi"/>
          <w:b/>
          <w:bCs/>
        </w:rPr>
        <w:t xml:space="preserve"> ovan</w:t>
      </w:r>
      <w:r w:rsidRPr="00B41C29">
        <w:rPr>
          <w:rFonts w:cstheme="minorHAnsi"/>
          <w:b/>
          <w:bCs/>
        </w:rPr>
        <w:t xml:space="preserve"> är väldigt lös i förhållande till punkten 21 i domen </w:t>
      </w:r>
      <w:r w:rsidR="00620DDD" w:rsidRPr="00B41C29">
        <w:rPr>
          <w:rFonts w:cstheme="minorHAnsi"/>
          <w:b/>
          <w:bCs/>
        </w:rPr>
        <w:t xml:space="preserve">och kan inte anses ge den vägledning som riktlinjerna bör ge för beslutsfattandet. Punkten ovan </w:t>
      </w:r>
      <w:r w:rsidRPr="00B41C29">
        <w:rPr>
          <w:rFonts w:cstheme="minorHAnsi"/>
          <w:b/>
          <w:bCs/>
        </w:rPr>
        <w:t>lyder</w:t>
      </w:r>
      <w:r w:rsidRPr="00B41C29">
        <w:rPr>
          <w:rFonts w:cstheme="minorHAnsi"/>
        </w:rPr>
        <w:t xml:space="preserve">: </w:t>
      </w:r>
      <w:r w:rsidR="00620DDD" w:rsidRPr="00B41C29">
        <w:rPr>
          <w:rFonts w:cstheme="minorHAnsi"/>
        </w:rPr>
        <w:t>”</w:t>
      </w:r>
      <w:r w:rsidRPr="00B41C29">
        <w:rPr>
          <w:rFonts w:cstheme="minorHAnsi"/>
          <w:i/>
          <w:iCs/>
          <w:color w:val="000000"/>
        </w:rPr>
        <w:t xml:space="preserve">Det skall även påpekas att domstolen avseende möjligheten att medge undantag från den stränga regleringen av jakten och andra begränsningar och förbud som anges i artiklarna 5, 6 och 8 i direktivet, som artikel 9 i detta direktiv hänvisar till, har betonat att denna möjlighet är </w:t>
      </w:r>
      <w:r w:rsidRPr="00B41C29">
        <w:rPr>
          <w:rFonts w:cstheme="minorHAnsi"/>
          <w:i/>
          <w:iCs/>
          <w:color w:val="000000"/>
          <w:u w:val="single"/>
        </w:rPr>
        <w:t>underkastad tre villkor. För det första skall en medlemsstat begränsa undantagen till fall då det inte föreligger någon annan lämplig lösning</w:t>
      </w:r>
      <w:r w:rsidRPr="00B41C29">
        <w:rPr>
          <w:rFonts w:cstheme="minorHAnsi"/>
          <w:i/>
          <w:iCs/>
          <w:color w:val="000000"/>
        </w:rPr>
        <w:t xml:space="preserve">. </w:t>
      </w:r>
      <w:r w:rsidRPr="00B41C29">
        <w:rPr>
          <w:rFonts w:cstheme="minorHAnsi"/>
          <w:i/>
          <w:iCs/>
          <w:color w:val="000000"/>
          <w:u w:val="single"/>
        </w:rPr>
        <w:t>För det andra skall undantaget vara grundat på minst en av de anledningar som framgår av den uttömmande uppräkningen i artikel 9.1 a-c.</w:t>
      </w:r>
      <w:r w:rsidRPr="00B41C29">
        <w:rPr>
          <w:rFonts w:cstheme="minorHAnsi"/>
          <w:i/>
          <w:iCs/>
          <w:color w:val="000000"/>
        </w:rPr>
        <w:t xml:space="preserve"> </w:t>
      </w:r>
      <w:r w:rsidRPr="00B41C29">
        <w:rPr>
          <w:rFonts w:cstheme="minorHAnsi"/>
          <w:i/>
          <w:iCs/>
          <w:color w:val="000000"/>
          <w:u w:val="single"/>
        </w:rPr>
        <w:t>För det tredje skall undantaget uppfylla de särskilda formkrav som uppräknas i punkt 2 i denna artikel, vilka syftar till att begränsa undantagen till vad som är absolut nödvändigt och till att möjliggöra kommissionens övervakning</w:t>
      </w:r>
      <w:r w:rsidRPr="00B41C29">
        <w:rPr>
          <w:rFonts w:cstheme="minorHAnsi"/>
          <w:i/>
          <w:iCs/>
          <w:color w:val="000000"/>
        </w:rPr>
        <w:t xml:space="preserve">. Denna artikel innebär således stora möjligheter att medge undantag från den allmänna skyddsregleringen, men enbart i konkreta enskilda fall och för att uppfylla klart definierade behov och situationer (domar av den 8 juli 1987, kommissionen mot Belgien, 247/85, </w:t>
      </w:r>
      <w:proofErr w:type="spellStart"/>
      <w:r w:rsidRPr="00B41C29">
        <w:rPr>
          <w:rFonts w:cstheme="minorHAnsi"/>
          <w:i/>
          <w:iCs/>
          <w:color w:val="000000"/>
        </w:rPr>
        <w:t>Rec</w:t>
      </w:r>
      <w:proofErr w:type="spellEnd"/>
      <w:r w:rsidRPr="00B41C29">
        <w:rPr>
          <w:rFonts w:cstheme="minorHAnsi"/>
          <w:i/>
          <w:iCs/>
          <w:color w:val="000000"/>
        </w:rPr>
        <w:t xml:space="preserve">. s. 3029, punkt 7, och kommissionen mot Italien, 262/85, </w:t>
      </w:r>
      <w:proofErr w:type="spellStart"/>
      <w:r w:rsidRPr="00B41C29">
        <w:rPr>
          <w:rFonts w:cstheme="minorHAnsi"/>
          <w:i/>
          <w:iCs/>
          <w:color w:val="000000"/>
        </w:rPr>
        <w:t>Rec</w:t>
      </w:r>
      <w:proofErr w:type="spellEnd"/>
      <w:r w:rsidRPr="00B41C29">
        <w:rPr>
          <w:rFonts w:cstheme="minorHAnsi"/>
          <w:i/>
          <w:iCs/>
          <w:color w:val="000000"/>
        </w:rPr>
        <w:t>. s. 3073, punkt 7).</w:t>
      </w:r>
      <w:r w:rsidR="00620DDD" w:rsidRPr="00B41C29">
        <w:rPr>
          <w:rFonts w:cstheme="minorHAnsi"/>
          <w:i/>
          <w:iCs/>
          <w:color w:val="000000"/>
        </w:rPr>
        <w:t>”</w:t>
      </w:r>
    </w:p>
    <w:p w14:paraId="7DE7297B" w14:textId="282F408E" w:rsidR="005A5C91" w:rsidRPr="00B41C29" w:rsidRDefault="005A5C91" w:rsidP="005B7BE8">
      <w:pPr>
        <w:pStyle w:val="Liststycke"/>
        <w:rPr>
          <w:rFonts w:cstheme="minorHAnsi"/>
        </w:rPr>
      </w:pPr>
    </w:p>
    <w:p w14:paraId="4F8DC16B" w14:textId="660FD202" w:rsidR="00620DDD" w:rsidRPr="00B41C29" w:rsidRDefault="005A5C91" w:rsidP="005B7BE8">
      <w:pPr>
        <w:pStyle w:val="Liststycke"/>
        <w:rPr>
          <w:rFonts w:cstheme="minorHAnsi"/>
          <w:i/>
          <w:iCs/>
        </w:rPr>
      </w:pPr>
      <w:r w:rsidRPr="00B41C29">
        <w:rPr>
          <w:rFonts w:cstheme="minorHAnsi"/>
        </w:rPr>
        <w:t xml:space="preserve">Direktivet som </w:t>
      </w:r>
      <w:r w:rsidR="00620DDD" w:rsidRPr="00B41C29">
        <w:rPr>
          <w:rFonts w:cstheme="minorHAnsi"/>
        </w:rPr>
        <w:t xml:space="preserve">det </w:t>
      </w:r>
      <w:r w:rsidRPr="00B41C29">
        <w:rPr>
          <w:rFonts w:cstheme="minorHAnsi"/>
        </w:rPr>
        <w:t>hänvisas till i domen</w:t>
      </w:r>
      <w:r w:rsidR="00620DDD" w:rsidRPr="00B41C29">
        <w:rPr>
          <w:rFonts w:cstheme="minorHAnsi"/>
        </w:rPr>
        <w:t xml:space="preserve"> C-118/94</w:t>
      </w:r>
      <w:r w:rsidRPr="00B41C29">
        <w:rPr>
          <w:rFonts w:cstheme="minorHAnsi"/>
        </w:rPr>
        <w:t xml:space="preserve"> är fågeldirektivet och den uttömmande uppräkningen </w:t>
      </w:r>
      <w:r w:rsidR="00620DDD" w:rsidRPr="00B41C29">
        <w:rPr>
          <w:rFonts w:cstheme="minorHAnsi"/>
        </w:rPr>
        <w:t xml:space="preserve">sker </w:t>
      </w:r>
      <w:r w:rsidRPr="00B41C29">
        <w:rPr>
          <w:rFonts w:cstheme="minorHAnsi"/>
        </w:rPr>
        <w:t>enligt artikel 9.1. a-c</w:t>
      </w:r>
      <w:r w:rsidR="00620DDD" w:rsidRPr="00B41C29">
        <w:rPr>
          <w:rFonts w:cstheme="minorHAnsi"/>
        </w:rPr>
        <w:t>. Den får tolkas analogt med art- och habitatdirektivet, se t ex EU-kommissionens vägledning 2021</w:t>
      </w:r>
      <w:r w:rsidR="00620DDD" w:rsidRPr="00B41C29">
        <w:rPr>
          <w:rFonts w:cstheme="minorHAnsi"/>
          <w:i/>
          <w:iCs/>
        </w:rPr>
        <w:t xml:space="preserve">: </w:t>
      </w:r>
      <w:r w:rsidR="00620DDD" w:rsidRPr="00B41C29">
        <w:rPr>
          <w:rFonts w:cstheme="minorHAnsi"/>
          <w:i/>
          <w:iCs/>
        </w:rPr>
        <w:br/>
      </w:r>
    </w:p>
    <w:p w14:paraId="77B8A9CC" w14:textId="1A3071E3" w:rsidR="00620DDD" w:rsidRPr="00B41C29" w:rsidRDefault="00620DDD" w:rsidP="005B7BE8">
      <w:pPr>
        <w:pStyle w:val="Liststycke"/>
        <w:rPr>
          <w:rFonts w:cstheme="minorHAnsi"/>
          <w:i/>
          <w:iCs/>
        </w:rPr>
      </w:pPr>
      <w:r w:rsidRPr="00B41C29">
        <w:rPr>
          <w:rFonts w:cstheme="minorHAnsi"/>
          <w:i/>
          <w:iCs/>
        </w:rPr>
        <w:t>”Baserat på domstolens rättspraxis om den jämförbara bestämmelsen i artikel 9 i fågeldirektivet 79/409/EEG132, i synnerhet i mål C-10/96, kan analysen av huruvida det finns ”någon annan lämplig lösning” anses bestå av tre delar: Vad är det för problem eller för specifik situation som måste åtgärdas? Finns det några andra lösningar? Om så är fallet, kommer de att åtgärda det problem eller den specifika situation som undantaget begärs för? Följande anmärkningar baseras på EU-domstolens rättspraxis om den jämförbara bestämmelsen om undantag i artikel 9 i fågeldirektivet och kan tillämpas analogt på artikel 16.”</w:t>
      </w:r>
    </w:p>
    <w:p w14:paraId="6DB61F3D" w14:textId="77777777" w:rsidR="00620DDD" w:rsidRPr="00B41C29" w:rsidRDefault="00620DDD" w:rsidP="005B7BE8">
      <w:pPr>
        <w:pStyle w:val="Liststycke"/>
        <w:rPr>
          <w:rFonts w:cstheme="minorHAnsi"/>
        </w:rPr>
      </w:pPr>
    </w:p>
    <w:p w14:paraId="63C65C88" w14:textId="1BD17C68" w:rsidR="00620DDD" w:rsidRPr="00B41C29" w:rsidRDefault="00620DDD" w:rsidP="005B7BE8">
      <w:pPr>
        <w:pStyle w:val="Liststycke"/>
        <w:rPr>
          <w:rFonts w:cstheme="minorHAnsi"/>
        </w:rPr>
      </w:pPr>
      <w:r w:rsidRPr="00B41C29">
        <w:rPr>
          <w:rFonts w:cstheme="minorHAnsi"/>
        </w:rPr>
        <w:t xml:space="preserve">Och samma vägledning anges att i mål </w:t>
      </w:r>
      <w:r w:rsidR="005A5C91" w:rsidRPr="00B41C29">
        <w:rPr>
          <w:rFonts w:cstheme="minorHAnsi"/>
        </w:rPr>
        <w:t>C-508/04 p. 110</w:t>
      </w:r>
      <w:r w:rsidRPr="00B41C29">
        <w:rPr>
          <w:rFonts w:cstheme="minorHAnsi"/>
        </w:rPr>
        <w:t xml:space="preserve"> att </w:t>
      </w:r>
      <w:r w:rsidRPr="00B41C29">
        <w:rPr>
          <w:rFonts w:cstheme="minorHAnsi"/>
          <w:u w:val="single"/>
        </w:rPr>
        <w:t>tolkningen ska göras restriktivt</w:t>
      </w:r>
      <w:r w:rsidRPr="00B41C29">
        <w:rPr>
          <w:rFonts w:cstheme="minorHAnsi"/>
        </w:rPr>
        <w:t xml:space="preserve"> för att inte kompromissa skyddet: </w:t>
      </w:r>
    </w:p>
    <w:p w14:paraId="54D0C850" w14:textId="77777777" w:rsidR="00620DDD" w:rsidRPr="00B41C29" w:rsidRDefault="00620DDD" w:rsidP="005B7BE8">
      <w:pPr>
        <w:pStyle w:val="Liststycke"/>
        <w:rPr>
          <w:rFonts w:cstheme="minorHAnsi"/>
        </w:rPr>
      </w:pPr>
    </w:p>
    <w:p w14:paraId="37CC5E94" w14:textId="4BD8BCD3" w:rsidR="005A5C91" w:rsidRPr="00B41C29" w:rsidRDefault="00620DDD" w:rsidP="005B7BE8">
      <w:pPr>
        <w:pStyle w:val="Liststycke"/>
        <w:rPr>
          <w:rFonts w:cstheme="minorHAnsi"/>
          <w:u w:val="single"/>
        </w:rPr>
      </w:pPr>
      <w:r w:rsidRPr="00B41C29">
        <w:rPr>
          <w:rFonts w:cstheme="minorHAnsi"/>
          <w:i/>
          <w:iCs/>
        </w:rPr>
        <w:t>”</w:t>
      </w:r>
      <w:r w:rsidR="005A5C91" w:rsidRPr="00B41C29">
        <w:rPr>
          <w:rFonts w:cstheme="minorHAnsi"/>
          <w:i/>
          <w:iCs/>
          <w:color w:val="000000"/>
        </w:rPr>
        <w:t xml:space="preserve">Vidare utgör artikel 16 i direktivet, vari klart anges på vilka villkor medlemsstaterna får göra undantag från artiklarna 12–15 häri, en bestämmelse om undantag från direktivets skyddsbestämmelser. </w:t>
      </w:r>
      <w:r w:rsidR="005A5C91" w:rsidRPr="00B41C29">
        <w:rPr>
          <w:rFonts w:cstheme="minorHAnsi"/>
          <w:i/>
          <w:iCs/>
          <w:color w:val="000000"/>
          <w:u w:val="single"/>
        </w:rPr>
        <w:t>Bestämmelsen skall därför tolkas restriktivt.</w:t>
      </w:r>
      <w:r w:rsidRPr="00B41C29">
        <w:rPr>
          <w:rFonts w:cstheme="minorHAnsi"/>
          <w:i/>
          <w:iCs/>
          <w:color w:val="000000"/>
          <w:u w:val="single"/>
        </w:rPr>
        <w:t>”</w:t>
      </w:r>
    </w:p>
    <w:p w14:paraId="52DA3C25" w14:textId="522477ED" w:rsidR="006B5425" w:rsidRPr="00B41C29" w:rsidRDefault="006B5425" w:rsidP="005B7BE8">
      <w:pPr>
        <w:pStyle w:val="Liststycke"/>
        <w:rPr>
          <w:rFonts w:cstheme="minorHAnsi"/>
        </w:rPr>
      </w:pPr>
    </w:p>
    <w:p w14:paraId="5FA10A94" w14:textId="5C19B170" w:rsidR="005B7BE8" w:rsidRPr="00B41C29" w:rsidRDefault="00BE7B0D" w:rsidP="005B7BE8">
      <w:pPr>
        <w:pStyle w:val="Liststycke"/>
        <w:numPr>
          <w:ilvl w:val="0"/>
          <w:numId w:val="3"/>
        </w:numPr>
        <w:rPr>
          <w:rFonts w:cstheme="minorHAnsi"/>
          <w:i/>
          <w:iCs/>
        </w:rPr>
      </w:pPr>
      <w:r w:rsidRPr="00B41C29">
        <w:rPr>
          <w:rFonts w:cstheme="minorHAnsi"/>
          <w:noProof/>
        </w:rPr>
        <w:lastRenderedPageBreak/>
        <mc:AlternateContent>
          <mc:Choice Requires="wps">
            <w:drawing>
              <wp:anchor distT="0" distB="0" distL="114300" distR="114300" simplePos="0" relativeHeight="251670528" behindDoc="0" locked="0" layoutInCell="1" allowOverlap="1" wp14:anchorId="2F4C39A3" wp14:editId="5E32BF23">
                <wp:simplePos x="0" y="0"/>
                <wp:positionH relativeFrom="column">
                  <wp:posOffset>432425</wp:posOffset>
                </wp:positionH>
                <wp:positionV relativeFrom="paragraph">
                  <wp:posOffset>-39854</wp:posOffset>
                </wp:positionV>
                <wp:extent cx="5124090" cy="414068"/>
                <wp:effectExtent l="0" t="0" r="19685" b="24130"/>
                <wp:wrapNone/>
                <wp:docPr id="15" name="Rektangel 15"/>
                <wp:cNvGraphicFramePr/>
                <a:graphic xmlns:a="http://schemas.openxmlformats.org/drawingml/2006/main">
                  <a:graphicData uri="http://schemas.microsoft.com/office/word/2010/wordprocessingShape">
                    <wps:wsp>
                      <wps:cNvSpPr/>
                      <wps:spPr>
                        <a:xfrm>
                          <a:off x="0" y="0"/>
                          <a:ext cx="5124090" cy="41406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3F2416" id="Rektangel 15" o:spid="_x0000_s1026" style="position:absolute;margin-left:34.05pt;margin-top:-3.15pt;width:403.45pt;height:32.6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" filled="f" strokecolor="#1f3763 [1604]" strokeweight="1pt"/>
            </w:pict>
          </mc:Fallback>
        </mc:AlternateContent>
      </w:r>
      <w:r w:rsidR="00620DDD" w:rsidRPr="00B41C29">
        <w:rPr>
          <w:rFonts w:cstheme="minorHAnsi"/>
          <w:i/>
          <w:iCs/>
        </w:rPr>
        <w:t>u</w:t>
      </w:r>
      <w:r w:rsidR="005B7BE8" w:rsidRPr="00B41C29">
        <w:rPr>
          <w:rFonts w:cstheme="minorHAnsi"/>
          <w:i/>
          <w:iCs/>
        </w:rPr>
        <w:t>ndantag ska begränsas till vad som krävs för att lösa problemet</w:t>
      </w:r>
      <w:r w:rsidR="00620DDD" w:rsidRPr="00B41C29">
        <w:rPr>
          <w:rFonts w:cstheme="minorHAnsi"/>
          <w:i/>
          <w:iCs/>
        </w:rPr>
        <w:t xml:space="preserve"> -</w:t>
      </w:r>
      <w:r w:rsidR="005B7BE8" w:rsidRPr="00B41C29">
        <w:rPr>
          <w:rFonts w:cstheme="minorHAnsi"/>
          <w:i/>
          <w:iCs/>
        </w:rPr>
        <w:t xml:space="preserve"> hänvisning </w:t>
      </w:r>
      <w:r w:rsidR="00620DDD" w:rsidRPr="00B41C29">
        <w:rPr>
          <w:rFonts w:cstheme="minorHAnsi"/>
          <w:i/>
          <w:iCs/>
        </w:rPr>
        <w:t xml:space="preserve">till </w:t>
      </w:r>
      <w:r w:rsidR="005B7BE8" w:rsidRPr="00B41C29">
        <w:rPr>
          <w:rFonts w:cstheme="minorHAnsi"/>
          <w:i/>
          <w:iCs/>
        </w:rPr>
        <w:t xml:space="preserve">mål C-10/96. </w:t>
      </w:r>
    </w:p>
    <w:p w14:paraId="401FC0FC" w14:textId="77777777" w:rsidR="005B7BE8" w:rsidRPr="00B41C29" w:rsidRDefault="005B7BE8" w:rsidP="005B7BE8">
      <w:pPr>
        <w:pStyle w:val="Liststycke"/>
        <w:rPr>
          <w:rFonts w:cstheme="minorHAnsi"/>
        </w:rPr>
      </w:pPr>
    </w:p>
    <w:p w14:paraId="6A0AD69D" w14:textId="77777777" w:rsidR="005B7BE8" w:rsidRPr="00B41C29" w:rsidRDefault="005B7BE8" w:rsidP="005B7BE8">
      <w:pPr>
        <w:pStyle w:val="Liststycke"/>
        <w:rPr>
          <w:rFonts w:cstheme="minorHAnsi"/>
        </w:rPr>
      </w:pPr>
      <w:r w:rsidRPr="00B41C29">
        <w:rPr>
          <w:rFonts w:cstheme="minorHAnsi"/>
        </w:rPr>
        <w:t xml:space="preserve">C-10/96, punkt 41 fastställer: </w:t>
      </w:r>
      <w:r w:rsidRPr="00B41C29">
        <w:rPr>
          <w:rFonts w:cstheme="minorHAnsi"/>
          <w:i/>
          <w:iCs/>
        </w:rPr>
        <w:t xml:space="preserve">”Då ett undantag vidare </w:t>
      </w:r>
      <w:r w:rsidRPr="00B41C29">
        <w:rPr>
          <w:rFonts w:cstheme="minorHAnsi"/>
          <w:i/>
          <w:iCs/>
          <w:u w:val="single"/>
        </w:rPr>
        <w:t>skall</w:t>
      </w:r>
      <w:r w:rsidRPr="00B41C29">
        <w:rPr>
          <w:rFonts w:cstheme="minorHAnsi"/>
          <w:i/>
          <w:iCs/>
        </w:rPr>
        <w:t xml:space="preserve"> vara begränsat ´till vad som är absolut nödvändigt´ </w:t>
      </w:r>
      <w:proofErr w:type="gramStart"/>
      <w:r w:rsidRPr="00B41C29">
        <w:rPr>
          <w:rFonts w:cstheme="minorHAnsi"/>
          <w:i/>
          <w:iCs/>
        </w:rPr>
        <w:t>skall kriteriet</w:t>
      </w:r>
      <w:proofErr w:type="gramEnd"/>
      <w:r w:rsidRPr="00B41C29">
        <w:rPr>
          <w:rFonts w:cstheme="minorHAnsi"/>
          <w:i/>
          <w:iCs/>
        </w:rPr>
        <w:t xml:space="preserve"> ´litet antal´ som föreskrivs i artikel 9.1 c anses som en övre gräns snarare än en allmänt tillämplig regel. Denna bestämmelse tillåter därför inte att fångstkvoter fastställs i förväg för en femårsperiod utan att hänsyn tas till vad som varje år är "absolut nödvändigt". </w:t>
      </w:r>
    </w:p>
    <w:p w14:paraId="4DDCBE3D" w14:textId="77777777" w:rsidR="005B7BE8" w:rsidRPr="00B41C29" w:rsidRDefault="005B7BE8" w:rsidP="005B7BE8">
      <w:pPr>
        <w:pStyle w:val="Liststycke"/>
        <w:rPr>
          <w:rFonts w:cstheme="minorHAnsi"/>
        </w:rPr>
      </w:pPr>
    </w:p>
    <w:p w14:paraId="6115F713" w14:textId="77777777" w:rsidR="003041BB" w:rsidRPr="00B41C29" w:rsidRDefault="005B7BE8" w:rsidP="003041BB">
      <w:pPr>
        <w:pStyle w:val="Liststycke"/>
        <w:rPr>
          <w:rFonts w:cstheme="minorHAnsi"/>
        </w:rPr>
      </w:pPr>
      <w:r w:rsidRPr="00B41C29">
        <w:rPr>
          <w:rFonts w:cstheme="minorHAnsi"/>
        </w:rPr>
        <w:t xml:space="preserve">Naturvårdsverket har inte hänvisat till någon punkt i målet, och ger en vag och oprecis begäran ”vad som krävs för att lösa problemet”. Domen ställer hårdare krav på stringens och tydlighet, och fastställer att det handlar om absolut nödvändighet och miniminivåer. </w:t>
      </w:r>
      <w:r w:rsidR="003041BB" w:rsidRPr="00B41C29">
        <w:rPr>
          <w:rFonts w:cstheme="minorHAnsi"/>
        </w:rPr>
        <w:t xml:space="preserve"> Naturvårdsverket har heller inte förklarat hur fågeldirektivet förhåller sig till art- och habitatdirektivet. Detta mål ovan handlar om fåglar. </w:t>
      </w:r>
    </w:p>
    <w:p w14:paraId="03A5ACDD" w14:textId="77982897" w:rsidR="003041BB" w:rsidRPr="00B41C29" w:rsidRDefault="003041BB" w:rsidP="003041BB">
      <w:pPr>
        <w:pStyle w:val="Liststycke"/>
        <w:rPr>
          <w:rFonts w:cstheme="minorHAnsi"/>
        </w:rPr>
      </w:pPr>
      <w:r w:rsidRPr="00B41C29">
        <w:rPr>
          <w:rFonts w:cstheme="minorHAnsi"/>
          <w:noProof/>
        </w:rPr>
        <mc:AlternateContent>
          <mc:Choice Requires="wps">
            <w:drawing>
              <wp:anchor distT="0" distB="0" distL="114300" distR="114300" simplePos="0" relativeHeight="251671552" behindDoc="0" locked="0" layoutInCell="1" allowOverlap="1" wp14:anchorId="235A1B33" wp14:editId="209303DB">
                <wp:simplePos x="0" y="0"/>
                <wp:positionH relativeFrom="column">
                  <wp:posOffset>431321</wp:posOffset>
                </wp:positionH>
                <wp:positionV relativeFrom="paragraph">
                  <wp:posOffset>178974</wp:posOffset>
                </wp:positionV>
                <wp:extent cx="5641675" cy="439947"/>
                <wp:effectExtent l="0" t="0" r="16510" b="17780"/>
                <wp:wrapNone/>
                <wp:docPr id="16" name="Rektangel 16"/>
                <wp:cNvGraphicFramePr/>
                <a:graphic xmlns:a="http://schemas.openxmlformats.org/drawingml/2006/main">
                  <a:graphicData uri="http://schemas.microsoft.com/office/word/2010/wordprocessingShape">
                    <wps:wsp>
                      <wps:cNvSpPr/>
                      <wps:spPr>
                        <a:xfrm>
                          <a:off x="0" y="0"/>
                          <a:ext cx="5641675" cy="43994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E73C1F" id="Rektangel 16" o:spid="_x0000_s1026" style="position:absolute;margin-left:33.95pt;margin-top:14.1pt;width:444.25pt;height:34.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" filled="f" strokecolor="#1f3763 [1604]" strokeweight="1pt"/>
            </w:pict>
          </mc:Fallback>
        </mc:AlternateContent>
      </w:r>
    </w:p>
    <w:p w14:paraId="7F96F720" w14:textId="77777777" w:rsidR="003041BB" w:rsidRPr="00B41C29" w:rsidRDefault="005B7BE8" w:rsidP="003041BB">
      <w:pPr>
        <w:pStyle w:val="Liststycke"/>
        <w:numPr>
          <w:ilvl w:val="0"/>
          <w:numId w:val="3"/>
        </w:numPr>
        <w:rPr>
          <w:rFonts w:cstheme="minorHAnsi"/>
          <w:i/>
          <w:iCs/>
        </w:rPr>
      </w:pPr>
      <w:r w:rsidRPr="00B41C29">
        <w:rPr>
          <w:rFonts w:cstheme="minorHAnsi"/>
          <w:i/>
          <w:iCs/>
        </w:rPr>
        <w:t xml:space="preserve">Den myndighet som fattar besluten har bevisbördan för att förutsättningarna för undantag är uppfyllda, med hänvisning till målet C-60/05, punkt 34. </w:t>
      </w:r>
    </w:p>
    <w:p w14:paraId="7FB3C43E" w14:textId="77777777" w:rsidR="003041BB" w:rsidRPr="00B41C29" w:rsidRDefault="003041BB" w:rsidP="003041BB">
      <w:pPr>
        <w:pStyle w:val="Liststycke"/>
        <w:rPr>
          <w:rFonts w:cstheme="minorHAnsi"/>
        </w:rPr>
      </w:pPr>
    </w:p>
    <w:p w14:paraId="43407242" w14:textId="30AF091B" w:rsidR="005B7BE8" w:rsidRPr="00B41C29" w:rsidRDefault="005B7BE8" w:rsidP="003041BB">
      <w:pPr>
        <w:pStyle w:val="Liststycke"/>
        <w:rPr>
          <w:rFonts w:cstheme="minorHAnsi"/>
        </w:rPr>
      </w:pPr>
      <w:r w:rsidRPr="00B41C29">
        <w:rPr>
          <w:rFonts w:cstheme="minorHAnsi"/>
        </w:rPr>
        <w:t xml:space="preserve">”Det framgår nämligen av dom av den 7 mars 1996 i mål C-118/94, </w:t>
      </w:r>
      <w:proofErr w:type="spellStart"/>
      <w:r w:rsidRPr="00B41C29">
        <w:rPr>
          <w:rFonts w:cstheme="minorHAnsi"/>
        </w:rPr>
        <w:t>Associazione</w:t>
      </w:r>
      <w:proofErr w:type="spellEnd"/>
      <w:r w:rsidRPr="00B41C29">
        <w:rPr>
          <w:rFonts w:cstheme="minorHAnsi"/>
        </w:rPr>
        <w:t xml:space="preserve"> </w:t>
      </w:r>
      <w:proofErr w:type="spellStart"/>
      <w:r w:rsidRPr="00B41C29">
        <w:rPr>
          <w:rFonts w:cstheme="minorHAnsi"/>
        </w:rPr>
        <w:t>italiana</w:t>
      </w:r>
      <w:proofErr w:type="spellEnd"/>
      <w:r w:rsidRPr="00B41C29">
        <w:rPr>
          <w:rFonts w:cstheme="minorHAnsi"/>
        </w:rPr>
        <w:t xml:space="preserve"> per il WWF m.fl. (REG 1996, s. I-1223, punkterna 23 och 25–26), att den nationella lagstiftningen på detta område klart och tydligt skall </w:t>
      </w:r>
      <w:r w:rsidRPr="00B41C29">
        <w:rPr>
          <w:rFonts w:cstheme="minorHAnsi"/>
          <w:u w:val="single"/>
        </w:rPr>
        <w:t>ange kriterierna</w:t>
      </w:r>
      <w:r w:rsidRPr="00B41C29">
        <w:rPr>
          <w:rFonts w:cstheme="minorHAnsi"/>
        </w:rPr>
        <w:t xml:space="preserve"> för att beviljas undantag och ålägga de myndigheter som tillämpar lagstiftningen, att beakta dessa kriterier. Undantagsbestämmelser </w:t>
      </w:r>
      <w:r w:rsidRPr="00B41C29">
        <w:rPr>
          <w:rFonts w:cstheme="minorHAnsi"/>
          <w:u w:val="single"/>
        </w:rPr>
        <w:t>skall tolkas restriktivt,</w:t>
      </w:r>
      <w:r w:rsidRPr="00B41C29">
        <w:rPr>
          <w:rFonts w:cstheme="minorHAnsi"/>
        </w:rPr>
        <w:t xml:space="preserve"> och </w:t>
      </w:r>
      <w:r w:rsidRPr="00B41C29">
        <w:rPr>
          <w:rFonts w:cstheme="minorHAnsi"/>
          <w:u w:val="single"/>
        </w:rPr>
        <w:t>den myndighet som fattat beslutet har bevisbördan</w:t>
      </w:r>
      <w:r w:rsidRPr="00B41C29">
        <w:rPr>
          <w:rFonts w:cstheme="minorHAnsi"/>
        </w:rPr>
        <w:t xml:space="preserve"> för att </w:t>
      </w:r>
      <w:r w:rsidRPr="00B41C29">
        <w:rPr>
          <w:rFonts w:cstheme="minorHAnsi"/>
          <w:u w:val="single"/>
        </w:rPr>
        <w:t>nödvändiga förutsättningar</w:t>
      </w:r>
      <w:r w:rsidRPr="00B41C29">
        <w:rPr>
          <w:rFonts w:cstheme="minorHAnsi"/>
        </w:rPr>
        <w:t xml:space="preserve"> föreligger </w:t>
      </w:r>
      <w:r w:rsidRPr="00B41C29">
        <w:rPr>
          <w:rFonts w:cstheme="minorHAnsi"/>
          <w:u w:val="single"/>
        </w:rPr>
        <w:t>för varje undantag</w:t>
      </w:r>
      <w:r w:rsidRPr="00B41C29">
        <w:rPr>
          <w:rFonts w:cstheme="minorHAnsi"/>
        </w:rPr>
        <w:t xml:space="preserve"> och </w:t>
      </w:r>
      <w:r w:rsidRPr="00B41C29">
        <w:rPr>
          <w:rFonts w:cstheme="minorHAnsi"/>
          <w:u w:val="single"/>
        </w:rPr>
        <w:t>medlemsstaterna skall säkerställa att varje åtgärd som påverkar skyddade arter endast tillåts i beslut som är noggrant och tillräckligt motiverade och som hänvisar till skäl, villkor och krav</w:t>
      </w:r>
      <w:r w:rsidRPr="00B41C29">
        <w:rPr>
          <w:rFonts w:cstheme="minorHAnsi"/>
        </w:rPr>
        <w:t xml:space="preserve"> som anges i artikel 9.1 och 9.2 i direktivet.”</w:t>
      </w:r>
    </w:p>
    <w:p w14:paraId="14D6377C" w14:textId="58EF8492" w:rsidR="003041BB" w:rsidRPr="00B41C29" w:rsidRDefault="003041BB" w:rsidP="003041BB">
      <w:pPr>
        <w:ind w:left="720"/>
        <w:rPr>
          <w:rFonts w:cstheme="minorHAnsi"/>
        </w:rPr>
      </w:pPr>
      <w:r w:rsidRPr="00B41C29">
        <w:rPr>
          <w:rFonts w:cstheme="minorHAnsi"/>
          <w:noProof/>
        </w:rPr>
        <mc:AlternateContent>
          <mc:Choice Requires="wps">
            <w:drawing>
              <wp:anchor distT="0" distB="0" distL="114300" distR="114300" simplePos="0" relativeHeight="251672576" behindDoc="0" locked="0" layoutInCell="1" allowOverlap="1" wp14:anchorId="77BDC3C8" wp14:editId="7895379D">
                <wp:simplePos x="0" y="0"/>
                <wp:positionH relativeFrom="column">
                  <wp:posOffset>396815</wp:posOffset>
                </wp:positionH>
                <wp:positionV relativeFrom="paragraph">
                  <wp:posOffset>626302</wp:posOffset>
                </wp:positionV>
                <wp:extent cx="5650302" cy="422694"/>
                <wp:effectExtent l="0" t="0" r="26670" b="15875"/>
                <wp:wrapNone/>
                <wp:docPr id="17" name="Rektangel 17"/>
                <wp:cNvGraphicFramePr/>
                <a:graphic xmlns:a="http://schemas.openxmlformats.org/drawingml/2006/main">
                  <a:graphicData uri="http://schemas.microsoft.com/office/word/2010/wordprocessingShape">
                    <wps:wsp>
                      <wps:cNvSpPr/>
                      <wps:spPr>
                        <a:xfrm>
                          <a:off x="0" y="0"/>
                          <a:ext cx="5650302" cy="42269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7E0CE3" id="Rektangel 17" o:spid="_x0000_s1026" style="position:absolute;margin-left:31.25pt;margin-top:49.3pt;width:444.9pt;height:33.3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" filled="f" strokecolor="#1f3763 [1604]" strokeweight="1pt"/>
            </w:pict>
          </mc:Fallback>
        </mc:AlternateContent>
      </w:r>
      <w:r w:rsidR="005B7BE8" w:rsidRPr="00B41C29">
        <w:rPr>
          <w:rFonts w:cstheme="minorHAnsi"/>
        </w:rPr>
        <w:t xml:space="preserve">Det är Naturvårdsverket och länsstyrelserna enligt nuvarande gällande rätt som har bevisbördan för att EU-rättens krav är uppfyllda för undantagen ovan. Skäl i besluten är inte samma sak som bevis. Undantagsbestämmelser ska tolkas restriktivt. </w:t>
      </w:r>
    </w:p>
    <w:p w14:paraId="1B48E044" w14:textId="418D083E" w:rsidR="003041BB" w:rsidRPr="00B41C29" w:rsidRDefault="005B7BE8" w:rsidP="003041BB">
      <w:pPr>
        <w:pStyle w:val="Liststycke"/>
        <w:numPr>
          <w:ilvl w:val="0"/>
          <w:numId w:val="3"/>
        </w:numPr>
        <w:rPr>
          <w:rFonts w:cstheme="minorHAnsi"/>
          <w:i/>
          <w:iCs/>
        </w:rPr>
      </w:pPr>
      <w:r w:rsidRPr="00B41C29">
        <w:rPr>
          <w:rFonts w:cstheme="minorHAnsi"/>
          <w:i/>
          <w:iCs/>
        </w:rPr>
        <w:t xml:space="preserve">Åtgärder som påverkar skyddade arter får endast tillåtas i beslut som är noggrant och tillräckligt motiverade, med hänvisning till målet C-118/94. </w:t>
      </w:r>
    </w:p>
    <w:p w14:paraId="32F0FD95" w14:textId="77777777" w:rsidR="003041BB" w:rsidRPr="00B41C29" w:rsidRDefault="003041BB" w:rsidP="003041BB">
      <w:pPr>
        <w:pStyle w:val="Liststycke"/>
        <w:rPr>
          <w:rFonts w:cstheme="minorHAnsi"/>
        </w:rPr>
      </w:pPr>
    </w:p>
    <w:p w14:paraId="3FD08AA9" w14:textId="21FCE69A" w:rsidR="005B7BE8" w:rsidRPr="00B41C29" w:rsidRDefault="005B7BE8" w:rsidP="00BE7B0D">
      <w:pPr>
        <w:ind w:left="720"/>
        <w:rPr>
          <w:rFonts w:cstheme="minorHAnsi"/>
        </w:rPr>
      </w:pPr>
      <w:r w:rsidRPr="00B41C29">
        <w:rPr>
          <w:rFonts w:cstheme="minorHAnsi"/>
        </w:rPr>
        <w:t>Avgörandet av mål C118/94 handlar om hur en föreskrift ska lyda. I punkt 24 konstateras att en nationell föreskrift som går emot direktivet och tillåter jakt på skyddade arter strider mot rättssäkerheten.</w:t>
      </w:r>
      <w:r w:rsidR="003041BB" w:rsidRPr="00B41C29">
        <w:rPr>
          <w:rFonts w:cstheme="minorHAnsi"/>
        </w:rPr>
        <w:t xml:space="preserve"> </w:t>
      </w:r>
      <w:r w:rsidR="003041BB" w:rsidRPr="00BE7B0D">
        <w:rPr>
          <w:rFonts w:cstheme="minorHAnsi"/>
          <w:b/>
          <w:bCs/>
        </w:rPr>
        <w:t>Naturvårdsverket har inte angett någon punkt i målet och det är helt omöjligt att förstå vad i målet som myndigheten åberopar som riktlinje för att en dom är noggrant och tillräckligt motiverat.</w:t>
      </w:r>
    </w:p>
    <w:p w14:paraId="494B6E0F" w14:textId="55C24CB7" w:rsidR="00996A96" w:rsidRDefault="00996A96">
      <w:pPr>
        <w:rPr>
          <w:rFonts w:cstheme="minorHAnsi"/>
          <w:b/>
          <w:bCs/>
        </w:rPr>
      </w:pPr>
    </w:p>
    <w:p w14:paraId="1A05F65E" w14:textId="60B8F691" w:rsidR="00B41C29" w:rsidRDefault="00B41C29">
      <w:pPr>
        <w:rPr>
          <w:rFonts w:cstheme="minorHAnsi"/>
          <w:b/>
          <w:bCs/>
        </w:rPr>
      </w:pPr>
    </w:p>
    <w:p w14:paraId="32D8138F" w14:textId="26732A98" w:rsidR="00BE7B0D" w:rsidRDefault="00BE7B0D">
      <w:pPr>
        <w:rPr>
          <w:rFonts w:cstheme="minorHAnsi"/>
          <w:b/>
          <w:bCs/>
        </w:rPr>
      </w:pPr>
    </w:p>
    <w:p w14:paraId="2B35D44C" w14:textId="4B1E4199" w:rsidR="00BE7B0D" w:rsidRDefault="00BE7B0D">
      <w:pPr>
        <w:rPr>
          <w:rFonts w:cstheme="minorHAnsi"/>
          <w:b/>
          <w:bCs/>
        </w:rPr>
      </w:pPr>
    </w:p>
    <w:p w14:paraId="62C76A30" w14:textId="77777777" w:rsidR="00BE7B0D" w:rsidRPr="00B41C29" w:rsidRDefault="00BE7B0D">
      <w:pPr>
        <w:rPr>
          <w:rFonts w:cstheme="minorHAnsi"/>
          <w:b/>
          <w:bCs/>
        </w:rPr>
      </w:pPr>
    </w:p>
    <w:p w14:paraId="62C3D91D" w14:textId="5942900D" w:rsidR="005B7BE8" w:rsidRPr="00B41C29" w:rsidRDefault="005B7BE8">
      <w:pPr>
        <w:rPr>
          <w:rFonts w:cstheme="minorHAnsi"/>
          <w:b/>
          <w:bCs/>
        </w:rPr>
      </w:pPr>
      <w:r w:rsidRPr="00B41C29">
        <w:rPr>
          <w:rFonts w:cstheme="minorHAnsi"/>
          <w:b/>
          <w:bCs/>
        </w:rPr>
        <w:lastRenderedPageBreak/>
        <w:t>Sammanfattning om de EU-rättsliga grunderna</w:t>
      </w:r>
    </w:p>
    <w:p w14:paraId="4D47FB40" w14:textId="77777777" w:rsidR="00BE7B0D" w:rsidRDefault="00996A96" w:rsidP="00B41C29">
      <w:pPr>
        <w:pStyle w:val="Normalwebb"/>
        <w:spacing w:before="30" w:beforeAutospacing="0" w:after="0" w:afterAutospacing="0"/>
        <w:rPr>
          <w:rFonts w:asciiTheme="minorHAnsi" w:hAnsiTheme="minorHAnsi" w:cstheme="minorHAnsi"/>
          <w:sz w:val="22"/>
          <w:szCs w:val="22"/>
        </w:rPr>
      </w:pPr>
      <w:r w:rsidRPr="00B41C29">
        <w:rPr>
          <w:rFonts w:asciiTheme="minorHAnsi" w:hAnsiTheme="minorHAnsi" w:cstheme="minorHAnsi"/>
          <w:sz w:val="22"/>
          <w:szCs w:val="22"/>
        </w:rPr>
        <w:t xml:space="preserve">Sammanfattningsvis uppfyller riktlinjerna inte den EU-rättsliga nivån som förutsätts av en sektorsmyndighet med kompetens inom miljörätt inom EU. Som sådana motverkar riktlinjerna art- och habitatdirektivets syfte och ändamål och kan enligt EU:s rättsliga principer därmed ej användas som riktlinjer för beslutsfattande i samband med skyddsjaktsbeslut. </w:t>
      </w:r>
    </w:p>
    <w:p w14:paraId="50399D2D" w14:textId="1741AAF3" w:rsidR="00B41C29" w:rsidRPr="00B41C29" w:rsidRDefault="00996A96" w:rsidP="00B41C29">
      <w:pPr>
        <w:pStyle w:val="Normalwebb"/>
        <w:spacing w:before="30" w:beforeAutospacing="0" w:after="0" w:afterAutospacing="0"/>
        <w:rPr>
          <w:rFonts w:asciiTheme="minorHAnsi" w:hAnsiTheme="minorHAnsi" w:cstheme="minorHAnsi"/>
          <w:b/>
          <w:bCs/>
          <w:color w:val="334D55"/>
          <w:sz w:val="22"/>
          <w:szCs w:val="22"/>
        </w:rPr>
      </w:pPr>
      <w:r w:rsidRPr="00B41C29">
        <w:rPr>
          <w:rFonts w:asciiTheme="minorHAnsi" w:hAnsiTheme="minorHAnsi" w:cstheme="minorHAnsi"/>
          <w:sz w:val="22"/>
          <w:szCs w:val="22"/>
        </w:rPr>
        <w:br/>
        <w:t xml:space="preserve">* Riktlinjerna sammanblandar normhierarkin och anger bindande bestämmelser som dispositiva, dvs tolkar EU-rätten direkt felaktigt. </w:t>
      </w:r>
      <w:r w:rsidRPr="00B41C29">
        <w:rPr>
          <w:rFonts w:asciiTheme="minorHAnsi" w:hAnsiTheme="minorHAnsi" w:cstheme="minorHAnsi"/>
          <w:sz w:val="22"/>
          <w:szCs w:val="22"/>
        </w:rPr>
        <w:br/>
        <w:t xml:space="preserve">* Riktlinjerna korrumperar direktivets mål och syfte genom att lämna själva kärnbestämmelsen, artikel 12, utanför riktlinjerna och förvirrar därmed läsaren om vad ett skyddsjaktsbeslut alltid är – ett undantag från artikel 12.  </w:t>
      </w:r>
      <w:r w:rsidRPr="00B41C29">
        <w:rPr>
          <w:rFonts w:asciiTheme="minorHAnsi" w:hAnsiTheme="minorHAnsi" w:cstheme="minorHAnsi"/>
          <w:sz w:val="22"/>
          <w:szCs w:val="22"/>
        </w:rPr>
        <w:br/>
        <w:t xml:space="preserve">* Vidare anger riktlinjerna felaktig tolkning av EU-kommissionens vägledning (bindande doktrin) och EU-domstolens praxis (domar är bindande med </w:t>
      </w:r>
      <w:proofErr w:type="spellStart"/>
      <w:r w:rsidRPr="00B41C29">
        <w:rPr>
          <w:rFonts w:asciiTheme="minorHAnsi" w:hAnsiTheme="minorHAnsi" w:cstheme="minorHAnsi"/>
          <w:sz w:val="22"/>
          <w:szCs w:val="22"/>
        </w:rPr>
        <w:t>lagkraft</w:t>
      </w:r>
      <w:proofErr w:type="spellEnd"/>
      <w:r w:rsidRPr="00B41C29">
        <w:rPr>
          <w:rFonts w:asciiTheme="minorHAnsi" w:hAnsiTheme="minorHAnsi" w:cstheme="minorHAnsi"/>
          <w:sz w:val="22"/>
          <w:szCs w:val="22"/>
        </w:rPr>
        <w:t>)</w:t>
      </w:r>
      <w:r w:rsidRPr="00B41C29">
        <w:rPr>
          <w:rFonts w:asciiTheme="minorHAnsi" w:hAnsiTheme="minorHAnsi" w:cstheme="minorHAnsi"/>
          <w:sz w:val="22"/>
          <w:szCs w:val="22"/>
        </w:rPr>
        <w:br/>
        <w:t>* Riktlinjerna presenterar EU-rätten som något som ej vore sammanhängande med den nationella rätten och instruktionerna för beslut handlar enkom om hur man ska motivera jakten. Det EU-rättsliga resonemanget med stöd i direktivet saknas, vilket korrumperar riktlinjerna till att ta jaktbeslut – och ej skyddsbeslut utifrån djurvälfärdsperspektivet.</w:t>
      </w:r>
      <w:r w:rsidRPr="00B41C29">
        <w:rPr>
          <w:rFonts w:asciiTheme="minorHAnsi" w:hAnsiTheme="minorHAnsi" w:cstheme="minorHAnsi"/>
          <w:sz w:val="22"/>
          <w:szCs w:val="22"/>
        </w:rPr>
        <w:br/>
        <w:t xml:space="preserve">* Naturvårdsverket har aktivt valt att utelämna den viktigaste och färskaste rättskällan </w:t>
      </w:r>
      <w:r w:rsidR="003041BB" w:rsidRPr="00B41C29">
        <w:rPr>
          <w:rFonts w:asciiTheme="minorHAnsi" w:hAnsiTheme="minorHAnsi" w:cstheme="minorHAnsi"/>
          <w:sz w:val="22"/>
          <w:szCs w:val="22"/>
        </w:rPr>
        <w:t xml:space="preserve">dvs domen </w:t>
      </w:r>
      <w:r w:rsidR="00B41C29" w:rsidRPr="00B41C29">
        <w:rPr>
          <w:rFonts w:asciiTheme="minorHAnsi" w:hAnsiTheme="minorHAnsi" w:cstheme="minorHAnsi"/>
          <w:sz w:val="22"/>
          <w:szCs w:val="22"/>
        </w:rPr>
        <w:t xml:space="preserve">C-674/17 Tapiola, där det gällande regelverket för jakt av strikt skyddade djur är reglerad enligt EU-rätten. </w:t>
      </w:r>
      <w:r w:rsidR="00B41C29" w:rsidRPr="00B41C29">
        <w:rPr>
          <w:rFonts w:asciiTheme="minorHAnsi" w:hAnsiTheme="minorHAnsi" w:cstheme="minorHAnsi"/>
          <w:sz w:val="22"/>
          <w:szCs w:val="22"/>
        </w:rPr>
        <w:br/>
        <w:t>* Naturvårdsverket har hänvisat till dom C</w:t>
      </w:r>
      <w:r w:rsidR="00B41C29" w:rsidRPr="00B41C29">
        <w:rPr>
          <w:rFonts w:asciiTheme="minorHAnsi" w:hAnsiTheme="minorHAnsi" w:cstheme="minorHAnsi"/>
          <w:sz w:val="22"/>
          <w:szCs w:val="22"/>
        </w:rPr>
        <w:tab/>
        <w:t>-674/19 som handlar om vattenpipor i Litauen, 16 September 2020, UAB „</w:t>
      </w:r>
      <w:proofErr w:type="spellStart"/>
      <w:r w:rsidR="00B41C29" w:rsidRPr="00B41C29">
        <w:rPr>
          <w:rFonts w:asciiTheme="minorHAnsi" w:hAnsiTheme="minorHAnsi" w:cstheme="minorHAnsi"/>
          <w:sz w:val="22"/>
          <w:szCs w:val="22"/>
        </w:rPr>
        <w:t>Skonis</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ir</w:t>
      </w:r>
      <w:proofErr w:type="spellEnd"/>
      <w:r w:rsidR="00B41C29" w:rsidRPr="00B41C29">
        <w:rPr>
          <w:rFonts w:asciiTheme="minorHAnsi" w:hAnsiTheme="minorHAnsi" w:cstheme="minorHAnsi"/>
          <w:sz w:val="22"/>
          <w:szCs w:val="22"/>
        </w:rPr>
        <w:t xml:space="preserve"> </w:t>
      </w:r>
      <w:proofErr w:type="spellStart"/>
      <w:proofErr w:type="gramStart"/>
      <w:r w:rsidR="00B41C29" w:rsidRPr="00B41C29">
        <w:rPr>
          <w:rFonts w:asciiTheme="minorHAnsi" w:hAnsiTheme="minorHAnsi" w:cstheme="minorHAnsi"/>
          <w:sz w:val="22"/>
          <w:szCs w:val="22"/>
        </w:rPr>
        <w:t>kvapas</w:t>
      </w:r>
      <w:proofErr w:type="spellEnd"/>
      <w:r w:rsidR="00B41C29" w:rsidRPr="00B41C29">
        <w:rPr>
          <w:rFonts w:asciiTheme="minorHAnsi" w:hAnsiTheme="minorHAnsi" w:cstheme="minorHAnsi"/>
          <w:sz w:val="22"/>
          <w:szCs w:val="22"/>
        </w:rPr>
        <w:t>“ v</w:t>
      </w:r>
      <w:proofErr w:type="gram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Muitinės</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departamentas</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prie</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Lietuvos</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Respublikos</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finansų</w:t>
      </w:r>
      <w:proofErr w:type="spellEnd"/>
      <w:r w:rsidR="00B41C29" w:rsidRPr="00B41C29">
        <w:rPr>
          <w:rFonts w:asciiTheme="minorHAnsi" w:hAnsiTheme="minorHAnsi" w:cstheme="minorHAnsi"/>
          <w:sz w:val="22"/>
          <w:szCs w:val="22"/>
        </w:rPr>
        <w:t xml:space="preserve"> </w:t>
      </w:r>
      <w:proofErr w:type="spellStart"/>
      <w:r w:rsidR="00B41C29" w:rsidRPr="00B41C29">
        <w:rPr>
          <w:rFonts w:asciiTheme="minorHAnsi" w:hAnsiTheme="minorHAnsi" w:cstheme="minorHAnsi"/>
          <w:sz w:val="22"/>
          <w:szCs w:val="22"/>
        </w:rPr>
        <w:t>ministerijos</w:t>
      </w:r>
      <w:proofErr w:type="spellEnd"/>
      <w:r w:rsidR="00B41C29">
        <w:rPr>
          <w:rFonts w:asciiTheme="minorHAnsi" w:hAnsiTheme="minorHAnsi" w:cstheme="minorHAnsi"/>
          <w:sz w:val="22"/>
          <w:szCs w:val="22"/>
        </w:rPr>
        <w:t>.</w:t>
      </w:r>
      <w:r w:rsidR="00B41C29" w:rsidRPr="00B41C29">
        <w:rPr>
          <w:rFonts w:asciiTheme="minorHAnsi" w:hAnsiTheme="minorHAnsi" w:cstheme="minorHAnsi"/>
          <w:sz w:val="22"/>
          <w:szCs w:val="22"/>
        </w:rPr>
        <w:br/>
        <w:t>* Naturvårdsverket har lämnat oprecisa hänvisningar till EU-domar utan punkter, vilket omöjliggör förståelsen av hur och varför myndigheten ger vissa riktlinjer.</w:t>
      </w:r>
    </w:p>
    <w:p w14:paraId="07BE84B0" w14:textId="75FEB186" w:rsidR="00996A96" w:rsidRPr="00B41C29" w:rsidRDefault="00996A96">
      <w:pPr>
        <w:rPr>
          <w:rFonts w:cstheme="minorHAnsi"/>
        </w:rPr>
      </w:pPr>
    </w:p>
    <w:p w14:paraId="46ED5E49" w14:textId="21E127D8" w:rsidR="00B41C29" w:rsidRPr="00B41C29" w:rsidRDefault="00B41C29">
      <w:pPr>
        <w:rPr>
          <w:rFonts w:cstheme="minorHAnsi"/>
          <w:b/>
          <w:bCs/>
        </w:rPr>
      </w:pPr>
      <w:r w:rsidRPr="00B41C29">
        <w:rPr>
          <w:rFonts w:cstheme="minorHAnsi"/>
          <w:b/>
          <w:bCs/>
        </w:rPr>
        <w:t xml:space="preserve">Om riktlinjerna skulle godkännas som sådana, kommer det att vara nödvändigt att dessa riktlinjer granskas av EU-kommissionen. </w:t>
      </w:r>
    </w:p>
    <w:p w14:paraId="7990FA2A" w14:textId="77777777" w:rsidR="00240956" w:rsidRPr="00B41C29" w:rsidRDefault="00240956">
      <w:pPr>
        <w:rPr>
          <w:rFonts w:cstheme="minorHAnsi"/>
        </w:rPr>
      </w:pPr>
    </w:p>
    <w:sectPr w:rsidR="00240956" w:rsidRPr="00B41C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58DC7" w14:textId="77777777" w:rsidR="00335A87" w:rsidRDefault="00335A87" w:rsidP="00335A87">
      <w:pPr>
        <w:spacing w:after="0" w:line="240" w:lineRule="auto"/>
      </w:pPr>
      <w:r>
        <w:separator/>
      </w:r>
    </w:p>
  </w:endnote>
  <w:endnote w:type="continuationSeparator" w:id="0">
    <w:p w14:paraId="45DE15BE" w14:textId="77777777" w:rsidR="00335A87" w:rsidRDefault="00335A87" w:rsidP="00335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DengXian">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B058D" w14:textId="77777777" w:rsidR="00335A87" w:rsidRDefault="00335A87" w:rsidP="00335A87">
      <w:pPr>
        <w:spacing w:after="0" w:line="240" w:lineRule="auto"/>
      </w:pPr>
      <w:r>
        <w:separator/>
      </w:r>
    </w:p>
  </w:footnote>
  <w:footnote w:type="continuationSeparator" w:id="0">
    <w:p w14:paraId="56AD9EA4" w14:textId="77777777" w:rsidR="00335A87" w:rsidRDefault="00335A87" w:rsidP="00335A87">
      <w:pPr>
        <w:spacing w:after="0" w:line="240" w:lineRule="auto"/>
      </w:pPr>
      <w:r>
        <w:continuationSeparator/>
      </w:r>
    </w:p>
  </w:footnote>
  <w:footnote w:id="1">
    <w:p w14:paraId="7BF8B901" w14:textId="4523B540" w:rsidR="00A74656" w:rsidRPr="00BE7B0D" w:rsidRDefault="00A74656">
      <w:pPr>
        <w:pStyle w:val="Fotnotstext"/>
        <w:rPr>
          <w:sz w:val="18"/>
          <w:szCs w:val="18"/>
          <w:lang w:val="en-GB"/>
        </w:rPr>
      </w:pPr>
      <w:r w:rsidRPr="00BE7B0D">
        <w:rPr>
          <w:rStyle w:val="Fotnotsreferens"/>
          <w:sz w:val="18"/>
          <w:szCs w:val="18"/>
        </w:rPr>
        <w:footnoteRef/>
      </w:r>
      <w:r w:rsidRPr="00BE7B0D">
        <w:rPr>
          <w:sz w:val="18"/>
          <w:szCs w:val="18"/>
          <w:lang w:val="en-GB"/>
        </w:rPr>
        <w:t xml:space="preserve"> European Commission: 2006 Article 17 Reporting Guidelines.</w:t>
      </w:r>
    </w:p>
  </w:footnote>
  <w:footnote w:id="2">
    <w:p w14:paraId="1F4A208D" w14:textId="60D4A0BA" w:rsidR="00335A87" w:rsidRPr="00BE7B0D" w:rsidRDefault="00335A87">
      <w:pPr>
        <w:pStyle w:val="Fotnotstext"/>
        <w:rPr>
          <w:sz w:val="18"/>
          <w:szCs w:val="18"/>
        </w:rPr>
      </w:pPr>
      <w:r w:rsidRPr="00BE7B0D">
        <w:rPr>
          <w:rStyle w:val="Fotnotsreferens"/>
          <w:sz w:val="18"/>
          <w:szCs w:val="18"/>
        </w:rPr>
        <w:footnoteRef/>
      </w:r>
      <w:r w:rsidRPr="00BE7B0D">
        <w:rPr>
          <w:sz w:val="18"/>
          <w:szCs w:val="18"/>
        </w:rPr>
        <w:t xml:space="preserve"> Förordningen (2012:989) med instruktion för Naturvårdsverket där det framgår att Naturvårdsverket ansvarar för internationell rapportering inom sitt ansvarsområde på miljöområdet.</w:t>
      </w:r>
    </w:p>
  </w:footnote>
  <w:footnote w:id="3">
    <w:p w14:paraId="5582F6D3" w14:textId="77777777" w:rsidR="0071736E" w:rsidRPr="00BE7B0D" w:rsidRDefault="0071736E" w:rsidP="0071736E">
      <w:pPr>
        <w:pStyle w:val="Fotnotstext"/>
        <w:rPr>
          <w:sz w:val="18"/>
          <w:szCs w:val="18"/>
        </w:rPr>
      </w:pPr>
      <w:r w:rsidRPr="00BE7B0D">
        <w:rPr>
          <w:rStyle w:val="Fotnotsreferens"/>
          <w:sz w:val="18"/>
          <w:szCs w:val="18"/>
        </w:rPr>
        <w:footnoteRef/>
      </w:r>
      <w:r w:rsidRPr="00BE7B0D">
        <w:rPr>
          <w:sz w:val="18"/>
          <w:szCs w:val="18"/>
        </w:rPr>
        <w:t xml:space="preserve"> EU-kommissionen, Originaldokument på svenska ”Vägledning om strikt skydd för djurarter av intresse för gemenskapen i enlighet med rådets direktiv 92/43/EEG om bevarande av livsmiljöer”. Februari, 2007.</w:t>
      </w:r>
    </w:p>
  </w:footnote>
  <w:footnote w:id="4">
    <w:p w14:paraId="173A46D0" w14:textId="7C35CB6D" w:rsidR="00A75C44" w:rsidRPr="00BE7B0D" w:rsidRDefault="00A75C44">
      <w:pPr>
        <w:pStyle w:val="Fotnotstext"/>
        <w:rPr>
          <w:sz w:val="18"/>
          <w:szCs w:val="18"/>
        </w:rPr>
      </w:pPr>
      <w:r w:rsidRPr="00BE7B0D">
        <w:rPr>
          <w:rStyle w:val="Fotnotsreferens"/>
          <w:sz w:val="18"/>
          <w:szCs w:val="18"/>
        </w:rPr>
        <w:footnoteRef/>
      </w:r>
      <w:r w:rsidRPr="00BE7B0D">
        <w:rPr>
          <w:sz w:val="18"/>
          <w:szCs w:val="18"/>
        </w:rPr>
        <w:t xml:space="preserve"> EU-kommissionen, Originaldokument på svenska ”Vägledning om strikt skydd för djurarter av intresse för gemenskapen i enlighet med rådets direktiv 92/43/EEG om bevarande av livsmiljöer”. Februari, 2007 samt Kommissionens tillkännagivande Vägledning om strikt skydd för</w:t>
      </w:r>
      <w:r w:rsidR="00E63D44" w:rsidRPr="00BE7B0D">
        <w:rPr>
          <w:sz w:val="18"/>
          <w:szCs w:val="18"/>
        </w:rPr>
        <w:t xml:space="preserve"> djurarter av gemenskapsintresse enligt habitatdirektivet, Bryssel den 12.10.2021 </w:t>
      </w:r>
      <w:proofErr w:type="gramStart"/>
      <w:r w:rsidR="00E63D44" w:rsidRPr="00BE7B0D">
        <w:rPr>
          <w:sz w:val="18"/>
          <w:szCs w:val="18"/>
        </w:rPr>
        <w:t>C(</w:t>
      </w:r>
      <w:proofErr w:type="gramEnd"/>
      <w:r w:rsidR="00E63D44" w:rsidRPr="00BE7B0D">
        <w:rPr>
          <w:sz w:val="18"/>
          <w:szCs w:val="18"/>
        </w:rPr>
        <w:t>2021) 7301 final.</w:t>
      </w:r>
    </w:p>
  </w:footnote>
  <w:footnote w:id="5">
    <w:p w14:paraId="74BCD3F7" w14:textId="77777777" w:rsidR="0089121C" w:rsidRPr="00BE7B0D" w:rsidRDefault="0089121C" w:rsidP="0089121C">
      <w:pPr>
        <w:rPr>
          <w:sz w:val="18"/>
          <w:szCs w:val="18"/>
          <w:lang w:val="en-GB"/>
        </w:rPr>
      </w:pPr>
      <w:r w:rsidRPr="00BE7B0D">
        <w:rPr>
          <w:rStyle w:val="Fotnotsreferens"/>
          <w:sz w:val="18"/>
          <w:szCs w:val="18"/>
        </w:rPr>
        <w:footnoteRef/>
      </w:r>
      <w:r w:rsidRPr="00BE7B0D">
        <w:rPr>
          <w:sz w:val="18"/>
          <w:szCs w:val="18"/>
          <w:lang w:val="en-GB"/>
        </w:rPr>
        <w:t xml:space="preserve"> EU-</w:t>
      </w:r>
      <w:proofErr w:type="spellStart"/>
      <w:r w:rsidRPr="00BE7B0D">
        <w:rPr>
          <w:sz w:val="18"/>
          <w:szCs w:val="18"/>
          <w:lang w:val="en-GB"/>
        </w:rPr>
        <w:t>kommisisonens</w:t>
      </w:r>
      <w:proofErr w:type="spellEnd"/>
      <w:r w:rsidRPr="00BE7B0D">
        <w:rPr>
          <w:sz w:val="18"/>
          <w:szCs w:val="18"/>
          <w:lang w:val="en-GB"/>
        </w:rPr>
        <w:t xml:space="preserve"> </w:t>
      </w:r>
      <w:proofErr w:type="spellStart"/>
      <w:r w:rsidRPr="00BE7B0D">
        <w:rPr>
          <w:sz w:val="18"/>
          <w:szCs w:val="18"/>
          <w:lang w:val="en-GB"/>
        </w:rPr>
        <w:t>vägledning</w:t>
      </w:r>
      <w:proofErr w:type="spellEnd"/>
      <w:r w:rsidRPr="00BE7B0D">
        <w:rPr>
          <w:sz w:val="18"/>
          <w:szCs w:val="18"/>
          <w:lang w:val="en-GB"/>
        </w:rPr>
        <w:t xml:space="preserve"> </w:t>
      </w:r>
      <w:proofErr w:type="spellStart"/>
      <w:r w:rsidRPr="00BE7B0D">
        <w:rPr>
          <w:sz w:val="18"/>
          <w:szCs w:val="18"/>
          <w:lang w:val="en-GB"/>
        </w:rPr>
        <w:t>används</w:t>
      </w:r>
      <w:proofErr w:type="spellEnd"/>
      <w:r w:rsidRPr="00BE7B0D">
        <w:rPr>
          <w:sz w:val="18"/>
          <w:szCs w:val="18"/>
          <w:lang w:val="en-GB"/>
        </w:rPr>
        <w:t xml:space="preserve"> </w:t>
      </w:r>
      <w:proofErr w:type="spellStart"/>
      <w:r w:rsidRPr="00BE7B0D">
        <w:rPr>
          <w:sz w:val="18"/>
          <w:szCs w:val="18"/>
          <w:lang w:val="en-GB"/>
        </w:rPr>
        <w:t>t.ex</w:t>
      </w:r>
      <w:proofErr w:type="spellEnd"/>
      <w:r w:rsidRPr="00BE7B0D">
        <w:rPr>
          <w:sz w:val="18"/>
          <w:szCs w:val="18"/>
          <w:lang w:val="en-GB"/>
        </w:rPr>
        <w:t xml:space="preserve">. </w:t>
      </w:r>
      <w:proofErr w:type="spellStart"/>
      <w:r w:rsidRPr="00BE7B0D">
        <w:rPr>
          <w:sz w:val="18"/>
          <w:szCs w:val="18"/>
          <w:lang w:val="en-GB"/>
        </w:rPr>
        <w:t>av</w:t>
      </w:r>
      <w:proofErr w:type="spellEnd"/>
      <w:r w:rsidRPr="00BE7B0D">
        <w:rPr>
          <w:sz w:val="18"/>
          <w:szCs w:val="18"/>
          <w:lang w:val="en-GB"/>
        </w:rPr>
        <w:t xml:space="preserve">: McGillivray, s. 436, </w:t>
      </w:r>
      <w:proofErr w:type="spellStart"/>
      <w:r w:rsidRPr="00BE7B0D">
        <w:rPr>
          <w:sz w:val="18"/>
          <w:szCs w:val="18"/>
          <w:lang w:val="en-GB"/>
        </w:rPr>
        <w:t>Clutten</w:t>
      </w:r>
      <w:proofErr w:type="spellEnd"/>
      <w:r w:rsidRPr="00BE7B0D">
        <w:rPr>
          <w:sz w:val="18"/>
          <w:szCs w:val="18"/>
          <w:lang w:val="en-GB"/>
        </w:rPr>
        <w:t xml:space="preserve"> &amp; </w:t>
      </w:r>
      <w:proofErr w:type="spellStart"/>
      <w:r w:rsidRPr="00BE7B0D">
        <w:rPr>
          <w:sz w:val="18"/>
          <w:szCs w:val="18"/>
          <w:lang w:val="en-GB"/>
        </w:rPr>
        <w:t>Tafur</w:t>
      </w:r>
      <w:proofErr w:type="spellEnd"/>
      <w:r w:rsidRPr="00BE7B0D">
        <w:rPr>
          <w:sz w:val="18"/>
          <w:szCs w:val="18"/>
          <w:lang w:val="en-GB"/>
        </w:rPr>
        <w:t xml:space="preserve">, s. 173 </w:t>
      </w:r>
      <w:proofErr w:type="spellStart"/>
      <w:r w:rsidRPr="00BE7B0D">
        <w:rPr>
          <w:sz w:val="18"/>
          <w:szCs w:val="18"/>
          <w:lang w:val="en-GB"/>
        </w:rPr>
        <w:t>i</w:t>
      </w:r>
      <w:proofErr w:type="spellEnd"/>
      <w:r w:rsidRPr="00BE7B0D">
        <w:rPr>
          <w:sz w:val="18"/>
          <w:szCs w:val="18"/>
          <w:lang w:val="en-GB"/>
        </w:rPr>
        <w:t xml:space="preserve"> </w:t>
      </w:r>
      <w:r w:rsidRPr="00BE7B0D">
        <w:rPr>
          <w:i/>
          <w:iCs/>
          <w:sz w:val="18"/>
          <w:szCs w:val="18"/>
          <w:lang w:val="en-GB"/>
        </w:rPr>
        <w:t>McGillivray, Donald</w:t>
      </w:r>
      <w:r w:rsidRPr="00BE7B0D">
        <w:rPr>
          <w:sz w:val="18"/>
          <w:szCs w:val="18"/>
          <w:lang w:val="en-GB"/>
        </w:rPr>
        <w:t xml:space="preserve">: “Compensating Biodiversity Loss: The EU Commission’s Approach to Compensation under Article 6 of the Habitats Directive”. </w:t>
      </w:r>
      <w:r w:rsidRPr="00BE7B0D">
        <w:rPr>
          <w:sz w:val="18"/>
          <w:szCs w:val="18"/>
          <w:lang w:val="en-US"/>
        </w:rPr>
        <w:t xml:space="preserve">I: Journal of Environmental Law 24:3 (2012), s. 417-450, </w:t>
      </w:r>
      <w:proofErr w:type="spellStart"/>
      <w:r w:rsidRPr="00BE7B0D">
        <w:rPr>
          <w:sz w:val="18"/>
          <w:szCs w:val="18"/>
          <w:lang w:val="en-US"/>
        </w:rPr>
        <w:t>och</w:t>
      </w:r>
      <w:proofErr w:type="spellEnd"/>
      <w:r w:rsidRPr="00BE7B0D">
        <w:rPr>
          <w:sz w:val="18"/>
          <w:szCs w:val="18"/>
          <w:lang w:val="en-US"/>
        </w:rPr>
        <w:t xml:space="preserve"> </w:t>
      </w:r>
      <w:proofErr w:type="spellStart"/>
      <w:r w:rsidRPr="00BE7B0D">
        <w:rPr>
          <w:sz w:val="18"/>
          <w:szCs w:val="18"/>
          <w:lang w:val="en-US"/>
        </w:rPr>
        <w:t>i</w:t>
      </w:r>
      <w:proofErr w:type="spellEnd"/>
      <w:r w:rsidRPr="00BE7B0D">
        <w:rPr>
          <w:sz w:val="18"/>
          <w:szCs w:val="18"/>
          <w:lang w:val="en-US"/>
        </w:rPr>
        <w:t xml:space="preserve"> </w:t>
      </w:r>
      <w:proofErr w:type="spellStart"/>
      <w:r w:rsidRPr="00BE7B0D">
        <w:rPr>
          <w:i/>
          <w:iCs/>
          <w:sz w:val="18"/>
          <w:szCs w:val="18"/>
          <w:lang w:val="en-US"/>
        </w:rPr>
        <w:t>Clutten</w:t>
      </w:r>
      <w:proofErr w:type="spellEnd"/>
      <w:r w:rsidRPr="00BE7B0D">
        <w:rPr>
          <w:i/>
          <w:iCs/>
          <w:sz w:val="18"/>
          <w:szCs w:val="18"/>
          <w:lang w:val="en-US"/>
        </w:rPr>
        <w:t xml:space="preserve">, Rebecca &amp; </w:t>
      </w:r>
      <w:proofErr w:type="spellStart"/>
      <w:r w:rsidRPr="00BE7B0D">
        <w:rPr>
          <w:i/>
          <w:iCs/>
          <w:sz w:val="18"/>
          <w:szCs w:val="18"/>
          <w:lang w:val="en-US"/>
        </w:rPr>
        <w:t>Tafur</w:t>
      </w:r>
      <w:proofErr w:type="spellEnd"/>
      <w:r w:rsidRPr="00BE7B0D">
        <w:rPr>
          <w:i/>
          <w:iCs/>
          <w:sz w:val="18"/>
          <w:szCs w:val="18"/>
          <w:lang w:val="en-US"/>
        </w:rPr>
        <w:t xml:space="preserve"> Isabella</w:t>
      </w:r>
      <w:proofErr w:type="gramStart"/>
      <w:r w:rsidRPr="00BE7B0D">
        <w:rPr>
          <w:sz w:val="18"/>
          <w:szCs w:val="18"/>
          <w:lang w:val="en-US"/>
        </w:rPr>
        <w:t>: ”Are</w:t>
      </w:r>
      <w:proofErr w:type="gramEnd"/>
      <w:r w:rsidRPr="00BE7B0D">
        <w:rPr>
          <w:sz w:val="18"/>
          <w:szCs w:val="18"/>
          <w:lang w:val="en-US"/>
        </w:rPr>
        <w:t xml:space="preserve"> Imperative Reasons Imperiling the Habitats Directive? An Assessment of Article 6(4) and the IROPI Exception”. I: The Habitats Directive. A Developer’s Obstacle Course? (red.: Jones), Hart Publishing, 2012.</w:t>
      </w:r>
    </w:p>
  </w:footnote>
  <w:footnote w:id="6">
    <w:p w14:paraId="0B1CA8B0" w14:textId="77777777" w:rsidR="0089121C" w:rsidRPr="00BE7B0D" w:rsidRDefault="0089121C" w:rsidP="0089121C">
      <w:pPr>
        <w:pStyle w:val="Fotnotstext"/>
        <w:rPr>
          <w:sz w:val="18"/>
          <w:szCs w:val="18"/>
          <w:lang w:val="en-US"/>
        </w:rPr>
      </w:pPr>
      <w:r w:rsidRPr="00BE7B0D">
        <w:rPr>
          <w:rStyle w:val="Fotnotsreferens"/>
          <w:sz w:val="18"/>
          <w:szCs w:val="18"/>
        </w:rPr>
        <w:footnoteRef/>
      </w:r>
      <w:r w:rsidRPr="00BE7B0D">
        <w:rPr>
          <w:sz w:val="18"/>
          <w:szCs w:val="18"/>
          <w:lang w:val="en-US"/>
        </w:rPr>
        <w:t xml:space="preserve"> Position Statement from the Large Carnivore Initiative for Europe on the 2010 Swedish wolf hunt, 2010, </w:t>
      </w:r>
      <w:proofErr w:type="spellStart"/>
      <w:r w:rsidRPr="00BE7B0D">
        <w:rPr>
          <w:sz w:val="18"/>
          <w:szCs w:val="18"/>
          <w:lang w:val="en-US"/>
        </w:rPr>
        <w:t>på</w:t>
      </w:r>
      <w:proofErr w:type="spellEnd"/>
      <w:r w:rsidRPr="00BE7B0D">
        <w:rPr>
          <w:sz w:val="18"/>
          <w:szCs w:val="18"/>
          <w:lang w:val="en-US"/>
        </w:rPr>
        <w:t xml:space="preserve"> http://jandarpo.se/</w:t>
      </w:r>
    </w:p>
  </w:footnote>
  <w:footnote w:id="7">
    <w:p w14:paraId="45DA66EF" w14:textId="630415B7" w:rsidR="00273B33" w:rsidRPr="00BE7B0D" w:rsidRDefault="00273B33">
      <w:pPr>
        <w:pStyle w:val="Fotnotstext"/>
        <w:rPr>
          <w:sz w:val="18"/>
          <w:szCs w:val="18"/>
          <w:lang w:val="en-GB"/>
        </w:rPr>
      </w:pPr>
      <w:r w:rsidRPr="00BE7B0D">
        <w:rPr>
          <w:rStyle w:val="Fotnotsreferens"/>
          <w:sz w:val="18"/>
          <w:szCs w:val="18"/>
        </w:rPr>
        <w:footnoteRef/>
      </w:r>
      <w:r w:rsidRPr="00BE7B0D">
        <w:rPr>
          <w:sz w:val="18"/>
          <w:szCs w:val="18"/>
          <w:lang w:val="en-GB"/>
        </w:rPr>
        <w:t xml:space="preserve"> </w:t>
      </w:r>
      <w:hyperlink r:id="rId1" w:history="1">
        <w:r w:rsidRPr="00BE7B0D">
          <w:rPr>
            <w:rStyle w:val="Hyperlnk"/>
            <w:sz w:val="18"/>
            <w:szCs w:val="18"/>
            <w:lang w:val="en-GB"/>
          </w:rPr>
          <w:t>EU Nature Protection Legislation – Focus on Species Protection (era-comm.eu)</w:t>
        </w:r>
      </w:hyperlink>
    </w:p>
  </w:footnote>
  <w:footnote w:id="8">
    <w:p w14:paraId="1021F557" w14:textId="5A8F25E0" w:rsidR="00F5533C" w:rsidRPr="00BE7B0D" w:rsidRDefault="00F5533C" w:rsidP="00F5533C">
      <w:pPr>
        <w:rPr>
          <w:rFonts w:cstheme="minorHAnsi"/>
          <w:sz w:val="18"/>
          <w:szCs w:val="18"/>
        </w:rPr>
      </w:pPr>
      <w:r w:rsidRPr="00BE7B0D">
        <w:rPr>
          <w:rStyle w:val="Fotnotsreferens"/>
          <w:sz w:val="18"/>
          <w:szCs w:val="18"/>
        </w:rPr>
        <w:footnoteRef/>
      </w:r>
      <w:r w:rsidRPr="00BE7B0D">
        <w:rPr>
          <w:sz w:val="18"/>
          <w:szCs w:val="18"/>
        </w:rPr>
        <w:t xml:space="preserve"> </w:t>
      </w:r>
      <w:r w:rsidRPr="00BE7B0D">
        <w:rPr>
          <w:rFonts w:cstheme="minorHAnsi"/>
          <w:sz w:val="18"/>
          <w:szCs w:val="18"/>
        </w:rPr>
        <w:t xml:space="preserve">Se de bindande domarna med </w:t>
      </w:r>
      <w:proofErr w:type="spellStart"/>
      <w:r w:rsidRPr="00BE7B0D">
        <w:rPr>
          <w:rFonts w:cstheme="minorHAnsi"/>
          <w:sz w:val="18"/>
          <w:szCs w:val="18"/>
        </w:rPr>
        <w:t>lagkraft</w:t>
      </w:r>
      <w:proofErr w:type="spellEnd"/>
      <w:r w:rsidRPr="00BE7B0D">
        <w:rPr>
          <w:rFonts w:cstheme="minorHAnsi"/>
          <w:sz w:val="18"/>
          <w:szCs w:val="18"/>
        </w:rPr>
        <w:t>: Kommissionen mot Förenade kungariket (Mål C-6/04, punkt 111), Kommissionen mot Österrike (Mål C-508/04, punkt 110) och Kommissionen mot Finland (Mål C-342/05, punkt 25).</w:t>
      </w:r>
    </w:p>
  </w:footnote>
  <w:footnote w:id="9">
    <w:p w14:paraId="61BA237A" w14:textId="2309395D" w:rsidR="00F5533C" w:rsidRPr="00BE7B0D" w:rsidRDefault="00F5533C">
      <w:pPr>
        <w:pStyle w:val="Fotnotstext"/>
        <w:rPr>
          <w:sz w:val="18"/>
          <w:szCs w:val="18"/>
        </w:rPr>
      </w:pPr>
      <w:r w:rsidRPr="00BE7B0D">
        <w:rPr>
          <w:rStyle w:val="Fotnotsreferens"/>
          <w:sz w:val="18"/>
          <w:szCs w:val="18"/>
        </w:rPr>
        <w:footnoteRef/>
      </w:r>
      <w:r w:rsidRPr="00BE7B0D">
        <w:rPr>
          <w:sz w:val="18"/>
          <w:szCs w:val="18"/>
        </w:rPr>
        <w:t xml:space="preserve"> Se de bindande domarna med </w:t>
      </w:r>
      <w:proofErr w:type="spellStart"/>
      <w:r w:rsidRPr="00BE7B0D">
        <w:rPr>
          <w:sz w:val="18"/>
          <w:szCs w:val="18"/>
        </w:rPr>
        <w:t>lagkraft</w:t>
      </w:r>
      <w:proofErr w:type="spellEnd"/>
      <w:r w:rsidRPr="00BE7B0D">
        <w:rPr>
          <w:sz w:val="18"/>
          <w:szCs w:val="18"/>
        </w:rPr>
        <w:t>: Kommissionen mot Finland (Mål C-342/05, punkt 25), se även, bland annat och analogt, dom av den 8 juni 2006, WWF Italia m.fl. (Mål C-60/05, punkt 34), samt Kommissionen mot Malta (Mål C-557/15, punkt 47).</w:t>
      </w:r>
    </w:p>
  </w:footnote>
  <w:footnote w:id="10">
    <w:p w14:paraId="557E8F63" w14:textId="77777777" w:rsidR="00F5533C" w:rsidRPr="00BE7B0D" w:rsidRDefault="00F5533C" w:rsidP="00F5533C">
      <w:pPr>
        <w:rPr>
          <w:i/>
          <w:iCs/>
          <w:sz w:val="18"/>
          <w:szCs w:val="18"/>
        </w:rPr>
      </w:pPr>
      <w:r w:rsidRPr="00BE7B0D">
        <w:rPr>
          <w:rStyle w:val="Fotnotsreferens"/>
          <w:sz w:val="18"/>
          <w:szCs w:val="18"/>
        </w:rPr>
        <w:footnoteRef/>
      </w:r>
      <w:r w:rsidRPr="00BE7B0D">
        <w:rPr>
          <w:sz w:val="18"/>
          <w:szCs w:val="18"/>
        </w:rPr>
        <w:t xml:space="preserve"> </w:t>
      </w:r>
      <w:r w:rsidRPr="00BE7B0D">
        <w:rPr>
          <w:i/>
          <w:iCs/>
          <w:sz w:val="18"/>
          <w:szCs w:val="18"/>
        </w:rPr>
        <w:t>195 Mål C-674-17, punkt 45. 196 Se, för ett liknande resonemang, dom av den 20 oktober 2005, kommission/Förenade kungariket (C-6/04, punk 25). Se även kommissionens tolkningsriktlinjer, s. 53, punkt 4. 197 Se dom WWF Italia m.fl. (Mål C-60/05, punkt 25), och Kommissionen mot Malta (Mål C-557/15, punkt 62)</w:t>
      </w:r>
    </w:p>
    <w:p w14:paraId="334C5876" w14:textId="734FB695" w:rsidR="00F5533C" w:rsidRPr="00BE7B0D" w:rsidRDefault="00F5533C">
      <w:pPr>
        <w:pStyle w:val="Fotnotstext"/>
        <w:rPr>
          <w:sz w:val="18"/>
          <w:szCs w:val="18"/>
        </w:rPr>
      </w:pPr>
    </w:p>
  </w:footnote>
  <w:footnote w:id="11">
    <w:p w14:paraId="47B3BB89" w14:textId="6113FE77" w:rsidR="00285833" w:rsidRPr="00BE7B0D" w:rsidRDefault="00285833">
      <w:pPr>
        <w:pStyle w:val="Fotnotstext"/>
        <w:rPr>
          <w:sz w:val="18"/>
          <w:szCs w:val="18"/>
          <w:lang w:val="en-GB"/>
        </w:rPr>
      </w:pPr>
      <w:r w:rsidRPr="00BE7B0D">
        <w:rPr>
          <w:rStyle w:val="Fotnotsreferens"/>
          <w:sz w:val="18"/>
          <w:szCs w:val="18"/>
        </w:rPr>
        <w:footnoteRef/>
      </w:r>
      <w:r w:rsidRPr="00BE7B0D">
        <w:rPr>
          <w:sz w:val="18"/>
          <w:szCs w:val="18"/>
        </w:rPr>
        <w:t xml:space="preserve"> Se särskilt domstolens dom av den 20 oktober 2005, kommissionen/Förenade kungariket, mål C-6/04, punkt 27, men även följande domar: 30 maj 1991, kommissionen/Tyskland, mål C-57/89, ECLI:EU:C:1991:89, punkterna 18 och 24. 19 september 1996, kommissionen/Grekland, mål C-236/95, ECLI:EU:C:1996:341, punkt 13. 19 maj 1999, kommissionen/Frankrike, mål C-225/97, ECLI:EU:C:1999:252, punkt 37. 10 maj 2001, kommissionen/Nederländerna, mål C-144/99, ECLI:EU:C:2001:257, punkt 21. 17 maj 2001, kommissionen/Italien, mål C-159/99, ECLI:EU:C:2001:278, punkt 32.</w:t>
      </w:r>
    </w:p>
  </w:footnote>
  <w:footnote w:id="12">
    <w:p w14:paraId="417810F6" w14:textId="6E10C0B9" w:rsidR="00285833" w:rsidRPr="00BE7B0D" w:rsidRDefault="00285833">
      <w:pPr>
        <w:pStyle w:val="Fotnotstext"/>
        <w:rPr>
          <w:sz w:val="18"/>
          <w:szCs w:val="18"/>
        </w:rPr>
      </w:pPr>
      <w:r w:rsidRPr="00BE7B0D">
        <w:rPr>
          <w:rStyle w:val="Fotnotsreferens"/>
          <w:sz w:val="18"/>
          <w:szCs w:val="18"/>
        </w:rPr>
        <w:footnoteRef/>
      </w:r>
      <w:r w:rsidRPr="00BE7B0D">
        <w:rPr>
          <w:sz w:val="18"/>
          <w:szCs w:val="18"/>
        </w:rPr>
        <w:t xml:space="preserve"> Se i detta sammanhang även mål 29/84, kommissionen/Tyskland, ECLI:EU:C:1985:229, punkt 23, mål 363/85, kommissionen/Italien, ECLI:EU:C:1987:196, punkt 7, och C-57/89, kommissionen/Tyskland, ECLI:EU:C:1991:225, punkt 18.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CA10E4"/>
    <w:multiLevelType w:val="hybridMultilevel"/>
    <w:tmpl w:val="03FADB26"/>
    <w:lvl w:ilvl="0" w:tplc="3210E6FC">
      <w:start w:val="5"/>
      <w:numFmt w:val="bullet"/>
      <w:lvlText w:val=""/>
      <w:lvlJc w:val="left"/>
      <w:pPr>
        <w:ind w:left="720" w:hanging="360"/>
      </w:pPr>
      <w:rPr>
        <w:rFonts w:ascii="Symbol" w:eastAsiaTheme="minorEastAsia" w:hAnsi="Symbol" w:cstheme="minorHAns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5418557F"/>
    <w:multiLevelType w:val="hybridMultilevel"/>
    <w:tmpl w:val="59F8D29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6ED774FE"/>
    <w:multiLevelType w:val="hybridMultilevel"/>
    <w:tmpl w:val="0C02F29C"/>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77A07F35"/>
    <w:multiLevelType w:val="multilevel"/>
    <w:tmpl w:val="9CCEF8E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3"/>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552156554">
    <w:abstractNumId w:val="3"/>
  </w:num>
  <w:num w:numId="2" w16cid:durableId="521824863">
    <w:abstractNumId w:val="2"/>
  </w:num>
  <w:num w:numId="3" w16cid:durableId="1061170690">
    <w:abstractNumId w:val="1"/>
  </w:num>
  <w:num w:numId="4" w16cid:durableId="1971283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DC5"/>
    <w:rsid w:val="000027FD"/>
    <w:rsid w:val="000D3FF9"/>
    <w:rsid w:val="001E12EC"/>
    <w:rsid w:val="00240956"/>
    <w:rsid w:val="00247106"/>
    <w:rsid w:val="00273B33"/>
    <w:rsid w:val="00285833"/>
    <w:rsid w:val="00292FE0"/>
    <w:rsid w:val="002B6C92"/>
    <w:rsid w:val="003041BB"/>
    <w:rsid w:val="00335A87"/>
    <w:rsid w:val="00346B59"/>
    <w:rsid w:val="00384CED"/>
    <w:rsid w:val="005A5C91"/>
    <w:rsid w:val="005B7BE8"/>
    <w:rsid w:val="005C7A63"/>
    <w:rsid w:val="00620DDD"/>
    <w:rsid w:val="006B5425"/>
    <w:rsid w:val="0071736E"/>
    <w:rsid w:val="007B61E1"/>
    <w:rsid w:val="00804801"/>
    <w:rsid w:val="00846D14"/>
    <w:rsid w:val="008860D7"/>
    <w:rsid w:val="0089121C"/>
    <w:rsid w:val="008C1F29"/>
    <w:rsid w:val="008E3F4A"/>
    <w:rsid w:val="00915875"/>
    <w:rsid w:val="009326B8"/>
    <w:rsid w:val="00996A96"/>
    <w:rsid w:val="009D2883"/>
    <w:rsid w:val="00A74656"/>
    <w:rsid w:val="00A75C44"/>
    <w:rsid w:val="00AF6F3C"/>
    <w:rsid w:val="00B41C29"/>
    <w:rsid w:val="00BE7B0D"/>
    <w:rsid w:val="00D923EA"/>
    <w:rsid w:val="00E43C2D"/>
    <w:rsid w:val="00E63D44"/>
    <w:rsid w:val="00E91602"/>
    <w:rsid w:val="00F31FBB"/>
    <w:rsid w:val="00F5533C"/>
    <w:rsid w:val="00FC2DC5"/>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5C3EB2"/>
  <w15:chartTrackingRefBased/>
  <w15:docId w15:val="{5C19307F-1C70-452D-992C-8E11A78F0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Fotnotstext">
    <w:name w:val="footnote text"/>
    <w:basedOn w:val="Normal"/>
    <w:link w:val="FotnotstextChar"/>
    <w:uiPriority w:val="99"/>
    <w:semiHidden/>
    <w:unhideWhenUsed/>
    <w:rsid w:val="00335A87"/>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335A87"/>
    <w:rPr>
      <w:sz w:val="20"/>
      <w:szCs w:val="20"/>
    </w:rPr>
  </w:style>
  <w:style w:type="character" w:styleId="Fotnotsreferens">
    <w:name w:val="footnote reference"/>
    <w:basedOn w:val="Standardstycketeckensnitt"/>
    <w:uiPriority w:val="99"/>
    <w:semiHidden/>
    <w:unhideWhenUsed/>
    <w:rsid w:val="00335A87"/>
    <w:rPr>
      <w:vertAlign w:val="superscript"/>
    </w:rPr>
  </w:style>
  <w:style w:type="paragraph" w:styleId="Normalwebb">
    <w:name w:val="Normal (Web)"/>
    <w:basedOn w:val="Normal"/>
    <w:uiPriority w:val="99"/>
    <w:unhideWhenUsed/>
    <w:rsid w:val="00846D14"/>
    <w:pPr>
      <w:spacing w:before="100" w:beforeAutospacing="1" w:after="100" w:afterAutospacing="1" w:line="240" w:lineRule="auto"/>
    </w:pPr>
    <w:rPr>
      <w:rFonts w:ascii="Times New Roman" w:eastAsia="Times New Roman" w:hAnsi="Times New Roman" w:cs="Times New Roman"/>
      <w:sz w:val="24"/>
      <w:szCs w:val="24"/>
    </w:rPr>
  </w:style>
  <w:style w:type="character" w:styleId="Hyperlnk">
    <w:name w:val="Hyperlink"/>
    <w:basedOn w:val="Standardstycketeckensnitt"/>
    <w:uiPriority w:val="99"/>
    <w:semiHidden/>
    <w:unhideWhenUsed/>
    <w:rsid w:val="00846D14"/>
    <w:rPr>
      <w:color w:val="0000FF"/>
      <w:u w:val="single"/>
    </w:rPr>
  </w:style>
  <w:style w:type="paragraph" w:styleId="Sidhuvud">
    <w:name w:val="header"/>
    <w:basedOn w:val="Normal"/>
    <w:link w:val="SidhuvudChar"/>
    <w:uiPriority w:val="99"/>
    <w:unhideWhenUsed/>
    <w:rsid w:val="00846D14"/>
    <w:pPr>
      <w:tabs>
        <w:tab w:val="center" w:pos="4513"/>
        <w:tab w:val="right" w:pos="9026"/>
      </w:tabs>
      <w:spacing w:after="0" w:line="240" w:lineRule="auto"/>
    </w:pPr>
  </w:style>
  <w:style w:type="character" w:customStyle="1" w:styleId="SidhuvudChar">
    <w:name w:val="Sidhuvud Char"/>
    <w:basedOn w:val="Standardstycketeckensnitt"/>
    <w:link w:val="Sidhuvud"/>
    <w:uiPriority w:val="99"/>
    <w:rsid w:val="00846D14"/>
  </w:style>
  <w:style w:type="paragraph" w:styleId="Sidfot">
    <w:name w:val="footer"/>
    <w:basedOn w:val="Normal"/>
    <w:link w:val="SidfotChar"/>
    <w:uiPriority w:val="99"/>
    <w:unhideWhenUsed/>
    <w:rsid w:val="00846D14"/>
    <w:pPr>
      <w:tabs>
        <w:tab w:val="center" w:pos="4513"/>
        <w:tab w:val="right" w:pos="9026"/>
      </w:tabs>
      <w:spacing w:after="0" w:line="240" w:lineRule="auto"/>
    </w:pPr>
  </w:style>
  <w:style w:type="character" w:customStyle="1" w:styleId="SidfotChar">
    <w:name w:val="Sidfot Char"/>
    <w:basedOn w:val="Standardstycketeckensnitt"/>
    <w:link w:val="Sidfot"/>
    <w:uiPriority w:val="99"/>
    <w:rsid w:val="00846D14"/>
  </w:style>
  <w:style w:type="paragraph" w:styleId="Liststycke">
    <w:name w:val="List Paragraph"/>
    <w:basedOn w:val="Normal"/>
    <w:uiPriority w:val="34"/>
    <w:qFormat/>
    <w:rsid w:val="00E63D44"/>
    <w:pPr>
      <w:ind w:left="720"/>
      <w:contextualSpacing/>
    </w:pPr>
  </w:style>
  <w:style w:type="character" w:styleId="Stark">
    <w:name w:val="Strong"/>
    <w:basedOn w:val="Standardstycketeckensnitt"/>
    <w:uiPriority w:val="22"/>
    <w:qFormat/>
    <w:rsid w:val="00915875"/>
    <w:rPr>
      <w:b/>
      <w:bCs/>
    </w:rPr>
  </w:style>
  <w:style w:type="character" w:styleId="Betoning">
    <w:name w:val="Emphasis"/>
    <w:basedOn w:val="Standardstycketeckensnitt"/>
    <w:uiPriority w:val="20"/>
    <w:qFormat/>
    <w:rsid w:val="009158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615655">
      <w:bodyDiv w:val="1"/>
      <w:marLeft w:val="0"/>
      <w:marRight w:val="0"/>
      <w:marTop w:val="0"/>
      <w:marBottom w:val="0"/>
      <w:divBdr>
        <w:top w:val="none" w:sz="0" w:space="0" w:color="auto"/>
        <w:left w:val="none" w:sz="0" w:space="0" w:color="auto"/>
        <w:bottom w:val="none" w:sz="0" w:space="0" w:color="auto"/>
        <w:right w:val="none" w:sz="0" w:space="0" w:color="auto"/>
      </w:divBdr>
    </w:div>
    <w:div w:id="1728381967">
      <w:bodyDiv w:val="1"/>
      <w:marLeft w:val="0"/>
      <w:marRight w:val="0"/>
      <w:marTop w:val="0"/>
      <w:marBottom w:val="0"/>
      <w:divBdr>
        <w:top w:val="none" w:sz="0" w:space="0" w:color="auto"/>
        <w:left w:val="none" w:sz="0" w:space="0" w:color="auto"/>
        <w:bottom w:val="none" w:sz="0" w:space="0" w:color="auto"/>
        <w:right w:val="none" w:sz="0" w:space="0" w:color="auto"/>
      </w:divBdr>
    </w:div>
    <w:div w:id="1842618497">
      <w:bodyDiv w:val="1"/>
      <w:marLeft w:val="0"/>
      <w:marRight w:val="0"/>
      <w:marTop w:val="0"/>
      <w:marBottom w:val="0"/>
      <w:divBdr>
        <w:top w:val="none" w:sz="0" w:space="0" w:color="auto"/>
        <w:left w:val="none" w:sz="0" w:space="0" w:color="auto"/>
        <w:bottom w:val="none" w:sz="0" w:space="0" w:color="auto"/>
        <w:right w:val="none" w:sz="0" w:space="0" w:color="auto"/>
      </w:divBdr>
    </w:div>
    <w:div w:id="213741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gen.nu/2007:84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agen.nu/dom/mod/2013:13"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era-comm.eu/Introduction_EU_Environmental_Law/EN/module_3/part_3/part_2_1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65620-A7A6-4C6F-AF8D-1057A37FB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4734</Words>
  <Characters>25093</Characters>
  <Application>Microsoft Office Word</Application>
  <DocSecurity>0</DocSecurity>
  <Lines>209</Lines>
  <Paragraphs>59</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Parikka Altenstedt, Johanna</dc:creator>
  <cp:keywords/>
  <dc:description/>
  <cp:lastModifiedBy>Johanna Parikka Altenstedt</cp:lastModifiedBy>
  <cp:revision>2</cp:revision>
  <dcterms:created xsi:type="dcterms:W3CDTF">2023-01-04T23:16:00Z</dcterms:created>
  <dcterms:modified xsi:type="dcterms:W3CDTF">2023-01-04T23:16:00Z</dcterms:modified>
</cp:coreProperties>
</file>